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8080F">
      <w:pPr>
        <w:spacing w:after="200"/>
        <w:jc w:val="center"/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</w:pPr>
    </w:p>
    <w:p w14:paraId="58CB2173">
      <w:pPr>
        <w:spacing w:after="200"/>
        <w:jc w:val="center"/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</w:pPr>
    </w:p>
    <w:p w14:paraId="21040BBC">
      <w:pPr>
        <w:spacing w:after="20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  <w:t>思</w:t>
      </w:r>
      <w:r>
        <w:rPr>
          <w:rFonts w:hint="eastAsia" w:ascii="宋体" w:hAnsi="宋体" w:eastAsia="宋体" w:cs="宋体"/>
          <w:b/>
          <w:bCs/>
          <w:color w:val="1F4E79"/>
          <w:sz w:val="52"/>
          <w:szCs w:val="5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1F4E79"/>
          <w:sz w:val="52"/>
          <w:szCs w:val="52"/>
        </w:rPr>
        <w:t>研</w:t>
      </w:r>
      <w:r>
        <w:rPr>
          <w:rFonts w:hint="eastAsia" w:ascii="宋体" w:hAnsi="宋体" w:eastAsia="宋体" w:cs="宋体"/>
          <w:b/>
          <w:bCs/>
          <w:color w:val="1F4E79"/>
          <w:sz w:val="52"/>
          <w:szCs w:val="52"/>
          <w:lang w:val="en-US" w:eastAsia="zh-CN"/>
        </w:rPr>
        <w:t xml:space="preserve"> 科 技</w:t>
      </w:r>
    </w:p>
    <w:p w14:paraId="714D6883">
      <w:pPr>
        <w:spacing w:after="100"/>
        <w:ind w:firstLine="3640" w:firstLineChars="13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2E75B6"/>
          <w:sz w:val="28"/>
          <w:szCs w:val="28"/>
        </w:rPr>
        <w:t>SIYAN</w:t>
      </w:r>
      <w:r>
        <w:rPr>
          <w:rFonts w:hint="eastAsia" w:ascii="宋体" w:hAnsi="宋体" w:eastAsia="宋体" w:cs="宋体"/>
          <w:color w:val="2E75B6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2E75B6"/>
          <w:sz w:val="28"/>
          <w:szCs w:val="28"/>
        </w:rPr>
        <w:t xml:space="preserve"> TECH</w:t>
      </w:r>
    </w:p>
    <w:p w14:paraId="05064221">
      <w:pPr>
        <w:spacing w:after="80"/>
        <w:rPr>
          <w:rFonts w:hint="eastAsia" w:ascii="宋体" w:hAnsi="宋体" w:eastAsia="宋体" w:cs="宋体"/>
        </w:rPr>
      </w:pPr>
    </w:p>
    <w:p w14:paraId="667191E0">
      <w:pPr>
        <w:pBdr>
          <w:bottom w:val="single" w:color="2E75B6" w:sz="6" w:space="1"/>
        </w:pBdr>
        <w:spacing w:after="400"/>
        <w:jc w:val="center"/>
        <w:rPr>
          <w:rFonts w:hint="eastAsia" w:ascii="宋体" w:hAnsi="宋体" w:eastAsia="宋体" w:cs="宋体"/>
        </w:rPr>
      </w:pPr>
    </w:p>
    <w:p w14:paraId="0553FDFA">
      <w:pPr>
        <w:spacing w:after="80"/>
        <w:rPr>
          <w:rFonts w:hint="eastAsia" w:ascii="宋体" w:hAnsi="宋体" w:eastAsia="宋体" w:cs="宋体"/>
        </w:rPr>
      </w:pPr>
    </w:p>
    <w:p w14:paraId="072EA035">
      <w:pPr>
        <w:spacing w:before="480" w:after="480" w:line="288" w:lineRule="auto"/>
        <w:ind w:left="0"/>
        <w:jc w:val="center"/>
        <w:rPr>
          <w:rFonts w:hint="eastAsia" w:ascii="宋体" w:hAnsi="宋体" w:eastAsia="宋体" w:cs="宋体"/>
          <w:b/>
          <w:sz w:val="52"/>
        </w:rPr>
      </w:pPr>
      <w:r>
        <w:rPr>
          <w:rFonts w:hint="eastAsia" w:ascii="宋体" w:hAnsi="宋体" w:eastAsia="宋体" w:cs="宋体"/>
          <w:b/>
          <w:sz w:val="52"/>
        </w:rPr>
        <w:t>ESD全流程控制与审厂合规白皮书</w:t>
      </w:r>
    </w:p>
    <w:p w14:paraId="588A0C56">
      <w:pPr>
        <w:spacing w:before="480" w:after="480" w:line="288" w:lineRule="auto"/>
        <w:ind w:left="0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（基于ANSI/ESD S20.20 &amp; IEC 61340-5-1 ）</w:t>
      </w:r>
    </w:p>
    <w:p w14:paraId="555182F5">
      <w:pPr>
        <w:spacing w:after="80"/>
      </w:pPr>
    </w:p>
    <w:p w14:paraId="613D98DC">
      <w:pPr>
        <w:spacing w:after="80"/>
      </w:pPr>
    </w:p>
    <w:p w14:paraId="237C7EF9">
      <w:pPr>
        <w:spacing w:after="80"/>
        <w:rPr>
          <w:rFonts w:hint="eastAsia" w:ascii="宋体" w:hAnsi="宋体" w:eastAsia="宋体" w:cs="宋体"/>
        </w:rPr>
      </w:pPr>
    </w:p>
    <w:p w14:paraId="52E858DB">
      <w:pPr>
        <w:spacing w:after="80"/>
        <w:rPr>
          <w:rFonts w:hint="eastAsia" w:ascii="宋体" w:hAnsi="宋体" w:eastAsia="宋体" w:cs="宋体"/>
        </w:rPr>
      </w:pPr>
    </w:p>
    <w:p w14:paraId="66D3C378">
      <w:pPr>
        <w:spacing w:after="12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666666"/>
          <w:sz w:val="22"/>
          <w:szCs w:val="22"/>
        </w:rPr>
        <w:t>编制日期：202</w:t>
      </w:r>
      <w:r>
        <w:rPr>
          <w:rFonts w:hint="eastAsia" w:ascii="宋体" w:hAnsi="宋体" w:eastAsia="宋体" w:cs="宋体"/>
          <w:color w:val="666666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666666"/>
          <w:sz w:val="22"/>
          <w:szCs w:val="22"/>
        </w:rPr>
        <w:t>年</w:t>
      </w:r>
      <w:r>
        <w:rPr>
          <w:rFonts w:hint="eastAsia" w:ascii="宋体" w:hAnsi="宋体" w:eastAsia="宋体" w:cs="宋体"/>
          <w:color w:val="666666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color w:val="666666"/>
          <w:sz w:val="22"/>
          <w:szCs w:val="22"/>
        </w:rPr>
        <w:t>月</w:t>
      </w:r>
    </w:p>
    <w:p w14:paraId="1CD0F547">
      <w:pPr>
        <w:spacing w:after="12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666666"/>
          <w:sz w:val="22"/>
          <w:szCs w:val="22"/>
        </w:rPr>
        <w:t>版本：V1.0</w:t>
      </w:r>
    </w:p>
    <w:p w14:paraId="1E144A36">
      <w:pPr>
        <w:rPr>
          <w:rFonts w:hint="eastAsia" w:ascii="宋体" w:hAnsi="宋体" w:eastAsia="宋体" w:cs="宋体"/>
        </w:rPr>
      </w:pPr>
    </w:p>
    <w:p w14:paraId="6771EDD6">
      <w:pPr>
        <w:rPr>
          <w:rFonts w:hint="eastAsia" w:ascii="宋体" w:hAnsi="宋体" w:eastAsia="宋体" w:cs="宋体"/>
        </w:rPr>
      </w:pPr>
    </w:p>
    <w:p w14:paraId="7CD93DB8">
      <w:pPr>
        <w:rPr>
          <w:rFonts w:hint="eastAsia" w:ascii="宋体" w:hAnsi="宋体" w:eastAsia="宋体" w:cs="宋体"/>
        </w:rPr>
      </w:pPr>
    </w:p>
    <w:p w14:paraId="3D5E969B">
      <w:pPr>
        <w:rPr>
          <w:rFonts w:hint="eastAsia" w:ascii="宋体" w:hAnsi="宋体" w:eastAsia="宋体" w:cs="宋体"/>
        </w:rPr>
      </w:pPr>
    </w:p>
    <w:p w14:paraId="488CEE68">
      <w:pPr>
        <w:spacing w:after="80"/>
      </w:pPr>
    </w:p>
    <w:p w14:paraId="4FDC3E0F">
      <w:pPr>
        <w:spacing w:after="80"/>
      </w:pPr>
    </w:p>
    <w:p w14:paraId="1AA775FA">
      <w:pPr>
        <w:pBdr>
          <w:top w:val="single" w:color="2E75B6" w:sz="4" w:space="1"/>
        </w:pBdr>
        <w:spacing w:before="400" w:after="2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思研</w:t>
      </w:r>
      <w:r>
        <w:rPr>
          <w:rFonts w:hint="eastAsia" w:ascii="WenQuanYi Micro Hei" w:hAnsi="WenQuanYi Micro Hei" w:eastAsia="WenQuanYi Micro Hei" w:cs="WenQuanYi Micro Hei"/>
          <w:b/>
          <w:bCs/>
          <w:color w:val="1F4E79"/>
          <w:sz w:val="24"/>
          <w:szCs w:val="24"/>
          <w:lang w:val="en-US" w:eastAsia="zh-CN"/>
        </w:rPr>
        <w:t>科技</w:t>
      </w: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 xml:space="preserve"> · ESD静电防护专家</w:t>
      </w:r>
    </w:p>
    <w:p w14:paraId="523AF269">
      <w:pPr>
        <w:spacing w:after="80"/>
        <w:jc w:val="center"/>
      </w:pP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电话：18666968958  |  邮箱：</w:t>
      </w:r>
      <w:r>
        <w:rPr>
          <w:rFonts w:hint="eastAsia" w:ascii="WenQuanYi Micro Hei" w:hAnsi="WenQuanYi Micro Hei" w:eastAsia="WenQuanYi Micro Hei" w:cs="WenQuanYi Micro Hei"/>
          <w:color w:val="666666"/>
          <w:sz w:val="20"/>
          <w:szCs w:val="20"/>
          <w:lang w:val="en-US" w:eastAsia="zh-CN"/>
        </w:rPr>
        <w:t>gaoguoan</w:t>
      </w: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@siyan.tech</w:t>
      </w:r>
    </w:p>
    <w:p w14:paraId="5D39A04D">
      <w:pPr>
        <w:jc w:val="center"/>
      </w:pPr>
      <w:r>
        <w:rPr>
          <w:rFonts w:ascii="WenQuanYi Micro Hei" w:hAnsi="WenQuanYi Micro Hei" w:eastAsia="WenQuanYi Micro Hei" w:cs="WenQuanYi Micro Hei"/>
          <w:color w:val="2E75B6"/>
          <w:sz w:val="20"/>
          <w:szCs w:val="20"/>
        </w:rPr>
        <w:t>官网：https://siyan.tech</w:t>
      </w:r>
    </w:p>
    <w:p w14:paraId="09340A0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p w14:paraId="63A127A6">
      <w:pPr>
        <w:rPr>
          <w:rFonts w:hint="eastAsia" w:ascii="宋体" w:hAnsi="宋体" w:eastAsia="宋体" w:cs="宋体"/>
        </w:rPr>
        <w:sectPr>
          <w:headerReference r:id="rId3" w:type="default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53826F7F">
      <w:pPr>
        <w:spacing w:before="120" w:after="120" w:line="288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本白皮书依据</w:t>
      </w:r>
      <w:r>
        <w:rPr>
          <w:rFonts w:hint="eastAsia" w:ascii="宋体" w:hAnsi="宋体" w:eastAsia="宋体" w:cs="宋体"/>
          <w:b/>
          <w:sz w:val="28"/>
          <w:szCs w:val="28"/>
        </w:rPr>
        <w:t>ANSI/ESD S20.20-2021、IEC 61340-5-1、IEC 61340-5-2</w:t>
      </w:r>
      <w:r>
        <w:rPr>
          <w:rFonts w:hint="eastAsia" w:ascii="宋体" w:hAnsi="宋体" w:eastAsia="宋体" w:cs="宋体"/>
          <w:sz w:val="28"/>
          <w:szCs w:val="28"/>
        </w:rPr>
        <w:t>国际静电防护标准编制，深度融合电子制造、SMT贴片、精密元器件组装、光电、半导体、车载电子、医疗电子等高端行业审厂规范，整合基础体系、硬件标准、实操工艺、高阶审厂技巧、问题闭环整改全维度内容。全文保留原有全套合规细则，新增高阶管控逻辑、专业技术参数、审厂高分技巧、失效机理与根因管控，可直接作为企业ESD官方管理手册、内审基准、客户稽核应对、企业体系认证的唯一合规范本。</w:t>
      </w:r>
    </w:p>
    <w:p w14:paraId="19B652CF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bCs w:val="0"/>
          <w:color w:val="002060"/>
        </w:rPr>
      </w:pPr>
      <w:bookmarkStart w:id="0" w:name="heading_0"/>
      <w:r>
        <w:rPr>
          <w:rFonts w:hint="eastAsia" w:ascii="宋体" w:hAnsi="宋体" w:eastAsia="宋体" w:cs="宋体"/>
          <w:b/>
          <w:bCs w:val="0"/>
          <w:color w:val="002060"/>
          <w:sz w:val="36"/>
          <w:lang w:val="en-US" w:eastAsia="zh-CN"/>
        </w:rPr>
        <w:t>一</w:t>
      </w:r>
      <w:r>
        <w:rPr>
          <w:rFonts w:hint="eastAsia" w:ascii="宋体" w:hAnsi="宋体" w:eastAsia="宋体" w:cs="宋体"/>
          <w:b/>
          <w:bCs w:val="0"/>
          <w:color w:val="002060"/>
          <w:sz w:val="36"/>
        </w:rPr>
        <w:t>、ESD静电防护核心重要性</w:t>
      </w:r>
      <w:bookmarkEnd w:id="0"/>
    </w:p>
    <w:p w14:paraId="6D746A4C">
      <w:pPr>
        <w:spacing w:before="120" w:after="120" w:line="288" w:lineRule="auto"/>
        <w:ind w:left="0" w:firstLine="442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：静电是精密制造行业隐形、高频、高危害的核心质量杀手，具备</w:t>
      </w:r>
      <w:r>
        <w:rPr>
          <w:rFonts w:hint="eastAsia" w:ascii="宋体" w:hAnsi="宋体" w:eastAsia="宋体" w:cs="宋体"/>
          <w:b/>
          <w:sz w:val="22"/>
        </w:rPr>
        <w:t>隐蔽性、突发性、不可逆性、批量性</w:t>
      </w:r>
      <w:r>
        <w:rPr>
          <w:rFonts w:hint="eastAsia" w:ascii="宋体" w:hAnsi="宋体" w:eastAsia="宋体" w:cs="宋体"/>
          <w:sz w:val="22"/>
        </w:rPr>
        <w:t>四大特性，绝大多数静电损伤无外观破损，仅能通过电性测试检出，极易流入终端市场引发品质事故与品牌损失。标准化ESD静电防护体系，是企业稳定量产、品质管控、合规审厂、降本增效的核心基础工程。</w:t>
      </w:r>
    </w:p>
    <w:p w14:paraId="4E59659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" w:name="heading_1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产品品质管控核心价值</w:t>
      </w:r>
      <w:bookmarkEnd w:id="1"/>
    </w:p>
    <w:p w14:paraId="66FBEBFD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静电放电瞬间可产生数千至数万伏高压，远超芯片、PCB、传感器、精密电子元器件的耐受电压，会造成两类致命损伤。</w:t>
      </w:r>
    </w:p>
    <w:p w14:paraId="5A037E9E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一是</w:t>
      </w:r>
      <w:r>
        <w:rPr>
          <w:rFonts w:hint="eastAsia" w:ascii="宋体" w:hAnsi="宋体" w:eastAsia="宋体" w:cs="宋体"/>
          <w:b/>
          <w:sz w:val="22"/>
        </w:rPr>
        <w:t>显性击穿损伤</w:t>
      </w:r>
      <w:r>
        <w:rPr>
          <w:rFonts w:hint="eastAsia" w:ascii="宋体" w:hAnsi="宋体" w:eastAsia="宋体" w:cs="宋体"/>
          <w:sz w:val="22"/>
        </w:rPr>
        <w:t>，器件当场烧毁、短路、失效，直接导致生产报废；</w:t>
      </w:r>
    </w:p>
    <w:p w14:paraId="11ED6786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二是</w:t>
      </w:r>
      <w:r>
        <w:rPr>
          <w:rFonts w:hint="eastAsia" w:ascii="宋体" w:hAnsi="宋体" w:eastAsia="宋体" w:cs="宋体"/>
          <w:b/>
          <w:sz w:val="22"/>
        </w:rPr>
        <w:t>隐性潜在损伤</w:t>
      </w:r>
      <w:r>
        <w:rPr>
          <w:rFonts w:hint="eastAsia" w:ascii="宋体" w:hAnsi="宋体" w:eastAsia="宋体" w:cs="宋体"/>
          <w:sz w:val="22"/>
        </w:rPr>
        <w:t>，元器件电性参数受损、性能衰减，生产测试合格，但终端使用过程中频繁死机、失灵、寿命骤减，是产品售后投诉、返修返工的核心诱因。</w:t>
      </w:r>
    </w:p>
    <w:p w14:paraId="23D7AFC8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据行业实测数据统计，未落实标准化ESD防护的制造企业，</w:t>
      </w:r>
      <w:r>
        <w:rPr>
          <w:rFonts w:hint="eastAsia" w:ascii="宋体" w:hAnsi="宋体" w:eastAsia="宋体" w:cs="宋体"/>
          <w:b/>
          <w:sz w:val="22"/>
        </w:rPr>
        <w:t>静电引发的产品不良率可达12%，中型工厂每月静电相关经济损失高达80万元</w:t>
      </w:r>
      <w:r>
        <w:rPr>
          <w:rFonts w:hint="eastAsia" w:ascii="宋体" w:hAnsi="宋体" w:eastAsia="宋体" w:cs="宋体"/>
          <w:sz w:val="22"/>
        </w:rPr>
        <w:t>，完成全流程ESD合规改造后，年均可节省品质损耗、返工、售后赔付成本超300万元，品质稳定性大幅提升。</w:t>
      </w:r>
      <w:bookmarkStart w:id="55" w:name="_GoBack"/>
      <w:bookmarkEnd w:id="55"/>
    </w:p>
    <w:p w14:paraId="11B47D8F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" w:name="heading_2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企业生产经营降本价值</w:t>
      </w:r>
      <w:bookmarkEnd w:id="2"/>
    </w:p>
    <w:p w14:paraId="4620AED7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静电隐患不仅造成产品报废损耗，还会引发连锁生产成本浪费。无规范ESD防护的产线，易出现批量器件静电损伤，导致整批次产品返工、返修，占用生产设备、人力、物料资源，拖慢生产交付周期；同时，频繁的品质异常会增加质检、工程整改、售后运维的人力成本。而系统化、标准化的ESD防护管控，可从源头规避静电不良问题，减少批量报废与返工，稳定生产良率，提升产能利用率，实现长期降本增效，为企业规模化生产筑牢基础。</w:t>
      </w:r>
    </w:p>
    <w:p w14:paraId="2B8051D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" w:name="heading_3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客户审厂与市场准入价值</w:t>
      </w:r>
      <w:bookmarkEnd w:id="3"/>
    </w:p>
    <w:p w14:paraId="42A7F3C5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当前半导体、车载电子、医疗电子、新能源、高端消费电子等行业头部客户，均将</w:t>
      </w:r>
      <w:r>
        <w:rPr>
          <w:rFonts w:hint="eastAsia" w:ascii="宋体" w:hAnsi="宋体" w:eastAsia="宋体" w:cs="宋体"/>
          <w:b/>
          <w:sz w:val="22"/>
        </w:rPr>
        <w:t>ESD S20.20静电防护体系合规</w:t>
      </w:r>
      <w:r>
        <w:rPr>
          <w:rFonts w:hint="eastAsia" w:ascii="宋体" w:hAnsi="宋体" w:eastAsia="宋体" w:cs="宋体"/>
          <w:sz w:val="22"/>
        </w:rPr>
        <w:t>作为供应商准入、年度稽核、评级考核的硬性门槛。ESD体系不完善、现场防护不达标，会直接导致客户审厂不通过、取消供货资质、终止合作订单，是企业丢失高端供应链资源的核心原因之一。完善的ESD全流程防护体系，不仅是合规刚需，更是企业获取高端客户信任、提升行业竞争力、拓展市场资源的核心加分项。</w:t>
      </w:r>
    </w:p>
    <w:p w14:paraId="0C26A3C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" w:name="heading_4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安全生产与设备防护价值</w:t>
      </w:r>
      <w:bookmarkEnd w:id="4"/>
    </w:p>
    <w:p w14:paraId="009ADE5F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除产品品质损伤外，静电积聚还存在重大生产安全隐患。在新能源电池、粉体、精密涂装、洁净车间等特殊场景，静电放电可引燃粉尘、有机溶剂、易燃易爆介质，引发火灾、爆炸安全事故；同时，高压静电会持续侵蚀精密生产设备、自动化轨道、检测仪器，造成设备精度偏移、元器件老化、故障频发，缩短设备使用寿命，增加设备维修与更换成本。规范的ESD接地、静电中和、全域防护体系，可有效规避安全生产风险，保护精密生产设备，保障产线安全、稳定、长效运行。</w:t>
      </w:r>
    </w:p>
    <w:p w14:paraId="18B722FB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5" w:name="heading_5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.5 行业标准化合规刚需</w:t>
      </w:r>
      <w:bookmarkEnd w:id="5"/>
    </w:p>
    <w:p w14:paraId="72B634C0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目前</w:t>
      </w:r>
      <w:r>
        <w:rPr>
          <w:rFonts w:hint="eastAsia" w:ascii="宋体" w:hAnsi="宋体" w:eastAsia="宋体" w:cs="宋体"/>
          <w:b/>
          <w:sz w:val="22"/>
        </w:rPr>
        <w:t>ANSI/ESD S20.20:2021、IEC 61340-5-1:2024</w:t>
      </w:r>
      <w:r>
        <w:rPr>
          <w:rFonts w:hint="eastAsia" w:ascii="宋体" w:hAnsi="宋体" w:eastAsia="宋体" w:cs="宋体"/>
          <w:sz w:val="22"/>
        </w:rPr>
        <w:t>等国际标准已成为全球精密制造行业通用合规基准，国内外高端制造产业链均强制要求企业落地全流程ESD管控。搭建合规、落地、可追溯的ESD静电防护体系，是企业适配行业标准、接轨国际生产规范、实现标准化、正规化、可持续经营的必备条件，也是企业规避合规风险、完善内部管理体系的核心组成部分。</w:t>
      </w:r>
    </w:p>
    <w:p w14:paraId="4693BB9D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  <w:bookmarkStart w:id="6" w:name="heading_6"/>
    </w:p>
    <w:p w14:paraId="0C0C3838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</w:rPr>
        <w:t>、静电防护组织架构与体系文件管理</w:t>
      </w:r>
      <w:r>
        <w:rPr>
          <w:rFonts w:hint="eastAsia" w:ascii="宋体" w:hAnsi="宋体" w:eastAsia="宋体" w:cs="宋体"/>
          <w:b/>
          <w:sz w:val="24"/>
          <w:szCs w:val="24"/>
        </w:rPr>
        <w:t>（System Architecture）</w:t>
      </w:r>
      <w:bookmarkEnd w:id="6"/>
    </w:p>
    <w:p w14:paraId="50300BD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：ESD控制不是单一部门的责任，而是全员参与、全流程覆盖、全层级落地的系统工程，必须实现决策、执行、操作三级联动，制度、落地、证据、改进四维闭环。</w:t>
      </w:r>
    </w:p>
    <w:p w14:paraId="2FD52BE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7" w:name="heading_7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7"/>
    </w:p>
    <w:p w14:paraId="3B166F2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企业需建立独立、权责清晰的静电防护管理组织，搭建标准化、文件化、可落地的ESD管控体系，杜绝无组织、无制度、空体系的管理漏洞，为全厂区ESD管控提供制度支撑。</w:t>
      </w:r>
    </w:p>
    <w:p w14:paraId="3C886706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是否正式成立</w:t>
      </w:r>
      <w:r>
        <w:rPr>
          <w:rFonts w:hint="eastAsia" w:ascii="宋体" w:hAnsi="宋体" w:eastAsia="宋体" w:cs="宋体"/>
          <w:b/>
          <w:sz w:val="22"/>
        </w:rPr>
        <w:t>公司级ESD管理委员会/ESD专项管理小组</w:t>
      </w:r>
      <w:r>
        <w:rPr>
          <w:rFonts w:hint="eastAsia" w:ascii="宋体" w:hAnsi="宋体" w:eastAsia="宋体" w:cs="宋体"/>
          <w:sz w:val="22"/>
        </w:rPr>
        <w:t>，明确组长、副组长、组员架构，覆盖行政、工程、生产、品质、采购、仓储、设备全部门？</w:t>
      </w:r>
    </w:p>
    <w:p w14:paraId="77575CA1">
      <w:pPr>
        <w:numPr>
          <w:ilvl w:val="0"/>
          <w:numId w:val="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是否正式任命</w:t>
      </w:r>
      <w:r>
        <w:rPr>
          <w:rFonts w:hint="eastAsia" w:ascii="宋体" w:hAnsi="宋体" w:eastAsia="宋体" w:cs="宋体"/>
          <w:b/>
          <w:sz w:val="22"/>
        </w:rPr>
        <w:t>专职ESD协调员（ESD Coordinator）</w:t>
      </w:r>
      <w:r>
        <w:rPr>
          <w:rFonts w:hint="eastAsia" w:ascii="宋体" w:hAnsi="宋体" w:eastAsia="宋体" w:cs="宋体"/>
          <w:sz w:val="22"/>
        </w:rPr>
        <w:t>，杜绝兼职挂靠、权责模糊、无人统筹的情况？</w:t>
      </w:r>
    </w:p>
    <w:p w14:paraId="2BAA938F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是否基于ANSI/ESD S20.20、IEC 61340-5-1标准，编制、发布受控版《ESD静电防护管理手册》《ESD控制程序文件》？</w:t>
      </w:r>
    </w:p>
    <w:p w14:paraId="78B6CF84">
      <w:pPr>
        <w:numPr>
          <w:ilvl w:val="0"/>
          <w:numId w:val="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各相关部门ESD岗位职责是否形成书面文件，经部门负责人、ESD委员会签字确认，做到权责到人、有据可查？</w:t>
      </w:r>
    </w:p>
    <w:p w14:paraId="20FE904C">
      <w:pPr>
        <w:numPr>
          <w:ilvl w:val="0"/>
          <w:numId w:val="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是否建立ESD体系评审机制，定期开展体系内审、管理评审，持续优化管控漏洞？</w:t>
      </w:r>
    </w:p>
    <w:p w14:paraId="5E5E41D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6A91625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05843AF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1CEA099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3F15438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3811BD7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63EB3CE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2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组织架构与体系文件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(System Architecture)</w:t>
      </w:r>
    </w:p>
    <w:tbl>
      <w:tblPr>
        <w:tblStyle w:val="6"/>
        <w:tblW w:w="10462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8"/>
        <w:gridCol w:w="8924"/>
      </w:tblGrid>
      <w:tr w14:paraId="7A7CE5C8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tblHeader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3862743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维度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72E9411E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详细要求与专业解析</w:t>
            </w:r>
          </w:p>
        </w:tc>
      </w:tr>
      <w:tr w14:paraId="372F576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8BEE7C9">
            <w:pPr>
              <w:spacing w:before="320" w:after="120" w:line="288" w:lineRule="auto"/>
              <w:ind w:left="0"/>
              <w:jc w:val="center"/>
              <w:outlineLvl w:val="1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.2 三级组织层级专业定义</w:t>
            </w:r>
          </w:p>
          <w:p w14:paraId="50D67BC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​</w:t>
            </w:r>
          </w:p>
        </w:tc>
        <w:tc>
          <w:tcPr>
            <w:tcW w:w="8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BEC9014">
            <w:pPr>
              <w:numPr>
                <w:ilvl w:val="0"/>
                <w:numId w:val="7"/>
              </w:numPr>
              <w:spacing w:before="120" w:after="120" w:line="288" w:lineRule="auto"/>
              <w:ind w:left="0" w:leftChars="0" w:firstLine="442" w:firstLineChars="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决策层 (ESD Committee)</w:t>
            </w:r>
            <w:r>
              <w:rPr>
                <w:rFonts w:hint="eastAsia" w:ascii="宋体" w:hAnsi="宋体" w:eastAsia="宋体" w:cs="宋体"/>
                <w:sz w:val="22"/>
              </w:rPr>
              <w:t>：由工厂厂长/生产总监担任委员会主席，核心职责为统筹ESD整体管控策略、调配人力与设备资源、审批ESD年度预算、批复体系整改方案与风险管控策略，为ESD体系落地提供顶层支撑。</w:t>
            </w:r>
          </w:p>
          <w:p w14:paraId="4E6C5D30">
            <w:pPr>
              <w:numPr>
                <w:ilvl w:val="0"/>
                <w:numId w:val="7"/>
              </w:numPr>
              <w:spacing w:before="120" w:after="120" w:line="288" w:lineRule="auto"/>
              <w:ind w:left="0" w:leftChars="0" w:firstLine="442" w:firstLineChars="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执行层 (ESD Coordinator)</w:t>
            </w:r>
            <w:r>
              <w:rPr>
                <w:rFonts w:hint="eastAsia" w:ascii="宋体" w:hAnsi="宋体" w:eastAsia="宋体" w:cs="宋体"/>
                <w:sz w:val="22"/>
              </w:rPr>
              <w:t>：配置专职ESD工程师/协调员，需持有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iNARTE国际静电认证</w:t>
            </w:r>
            <w:r>
              <w:rPr>
                <w:rFonts w:hint="eastAsia" w:ascii="宋体" w:hAnsi="宋体" w:eastAsia="宋体" w:cs="宋体"/>
                <w:sz w:val="22"/>
              </w:rPr>
              <w:t>或品牌原厂高级培训资质证书，证书可溯源、有效期内。核心工作：编制更新ESD标准、主导内部体系审计、ESD不良失效分析、跨部门异常统筹、标准落地督导、客户审厂对接。</w:t>
            </w:r>
          </w:p>
          <w:p w14:paraId="34EF8CE4">
            <w:pPr>
              <w:numPr>
                <w:ilvl w:val="0"/>
                <w:numId w:val="7"/>
              </w:numPr>
              <w:spacing w:before="120" w:after="120" w:line="288" w:lineRule="auto"/>
              <w:ind w:left="0" w:leftChars="0" w:firstLine="442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操作层 (ESD Champion)</w:t>
            </w:r>
            <w:r>
              <w:rPr>
                <w:rFonts w:hint="eastAsia" w:ascii="宋体" w:hAnsi="宋体" w:eastAsia="宋体" w:cs="宋体"/>
                <w:sz w:val="22"/>
              </w:rPr>
              <w:t>：各生产车间、工序班组长兼职担任，为现场ESD第一责任人，负责日常现场合规监督、员工违规即时纠偏、工位ESD点检落实、现场微小问题闭环上报。</w:t>
            </w:r>
          </w:p>
        </w:tc>
      </w:tr>
      <w:tr w14:paraId="3F6831AB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F0A1B2D">
            <w:pPr>
              <w:spacing w:before="320" w:after="120" w:line="288" w:lineRule="auto"/>
              <w:ind w:left="0"/>
              <w:jc w:val="center"/>
              <w:outlineLvl w:val="1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.3 四级体系文件层级规范</w:t>
            </w:r>
          </w:p>
          <w:p w14:paraId="7D0F26F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​</w:t>
            </w:r>
          </w:p>
        </w:tc>
        <w:tc>
          <w:tcPr>
            <w:tcW w:w="8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642D229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企业ESD体系文件必须实现四级分层管控，层级清晰、上下对应、落地可查，杜绝文件碎片化、前后矛盾。</w:t>
            </w:r>
          </w:p>
          <w:p w14:paraId="512BA6AA">
            <w:pPr>
              <w:numPr>
                <w:ilvl w:val="0"/>
                <w:numId w:val="8"/>
              </w:numPr>
              <w:spacing w:before="120" w:after="120" w:line="288" w:lineRule="auto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一级文件（管理手册）</w:t>
            </w:r>
            <w:r>
              <w:rPr>
                <w:rFonts w:hint="eastAsia" w:ascii="宋体" w:hAnsi="宋体" w:eastAsia="宋体" w:cs="宋体"/>
                <w:sz w:val="22"/>
              </w:rPr>
              <w:t>：公司级纲领文件，明确企业ESD管理政策、适用范围、管控边界，识别器件静电敏感模型（HBM/CDM/MM模型），明确各部门责任矩阵与管理目标。</w:t>
            </w:r>
          </w:p>
          <w:p w14:paraId="054BD2A3">
            <w:pPr>
              <w:numPr>
                <w:ilvl w:val="0"/>
                <w:numId w:val="8"/>
              </w:numPr>
              <w:spacing w:before="120" w:after="120" w:line="288" w:lineRule="auto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二级文件（程序文件）</w:t>
            </w:r>
            <w:r>
              <w:rPr>
                <w:rFonts w:hint="eastAsia" w:ascii="宋体" w:hAnsi="宋体" w:eastAsia="宋体" w:cs="宋体"/>
                <w:sz w:val="22"/>
              </w:rPr>
              <w:t>：专项管控程序，包含接地系统设计规范、EPA区域划分管理、敏感器件物料包装管控、ESD设备管理、异常处理程序等专项制度。</w:t>
            </w:r>
          </w:p>
          <w:p w14:paraId="10A3F907">
            <w:pPr>
              <w:numPr>
                <w:ilvl w:val="0"/>
                <w:numId w:val="8"/>
              </w:numPr>
              <w:spacing w:before="120" w:after="120" w:line="288" w:lineRule="auto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三级文件（SOP/WI作业指导书）</w:t>
            </w:r>
            <w:r>
              <w:rPr>
                <w:rFonts w:hint="eastAsia" w:ascii="宋体" w:hAnsi="宋体" w:eastAsia="宋体" w:cs="宋体"/>
                <w:sz w:val="22"/>
              </w:rPr>
              <w:t>：现场实操文件，包含ESD点检作业指导、设备测试规范、人员穿戴标准、物料周转SOP、工位管控细则等落地文件。</w:t>
            </w:r>
          </w:p>
          <w:p w14:paraId="3814B5AA">
            <w:pPr>
              <w:numPr>
                <w:ilvl w:val="0"/>
                <w:numId w:val="8"/>
              </w:numPr>
              <w:spacing w:before="120" w:after="120" w:line="288" w:lineRule="auto"/>
              <w:ind w:left="0" w:leftChars="0" w:firstLine="40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四级文件（记录表单）</w:t>
            </w:r>
            <w:r>
              <w:rPr>
                <w:rFonts w:hint="eastAsia" w:ascii="宋体" w:hAnsi="宋体" w:eastAsia="宋体" w:cs="宋体"/>
                <w:sz w:val="22"/>
              </w:rPr>
              <w:t>：证据留存文件，包含仪器校准证书、全员培训记录、月度会议纪要、内审报告、不符合项整改报告、日常点检测试记录等追溯资料。</w:t>
            </w:r>
          </w:p>
        </w:tc>
      </w:tr>
      <w:tr w14:paraId="151F487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6" w:hRule="atLeast"/>
        </w:trPr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7914E47">
            <w:pPr>
              <w:spacing w:before="320" w:after="120" w:line="288" w:lineRule="auto"/>
              <w:ind w:left="0"/>
              <w:jc w:val="center"/>
              <w:outlineLvl w:val="1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.4 合规性强制声明</w:t>
            </w:r>
          </w:p>
          <w:p w14:paraId="41802A26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  <w:t>​</w:t>
            </w:r>
          </w:p>
        </w:tc>
        <w:tc>
          <w:tcPr>
            <w:tcW w:w="8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AD818AF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ESD管理手册首页必须标注标准化合规声明，作为审厂核心核查项：明确标注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Compliant with ANSI/ESD S20.20</w:t>
            </w: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2021、IEC 61340-5-1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8"/>
                <w:szCs w:val="28"/>
                <w:shd w:val="clear" w:fill="FFFFFF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2"/>
                <w:szCs w:val="22"/>
                <w:shd w:val="clear" w:fill="FFFFFF"/>
              </w:rPr>
              <w:t>2024</w:t>
            </w:r>
            <w:r>
              <w:rPr>
                <w:rFonts w:hint="eastAsia" w:ascii="宋体" w:hAnsi="宋体" w:eastAsia="宋体" w:cs="宋体"/>
                <w:sz w:val="22"/>
              </w:rPr>
              <w:t>标准版本；同步识别厂区产品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ESD敏感等级</w:t>
            </w:r>
            <w:r>
              <w:rPr>
                <w:rFonts w:hint="eastAsia" w:ascii="宋体" w:hAnsi="宋体" w:eastAsia="宋体" w:cs="宋体"/>
                <w:sz w:val="22"/>
              </w:rPr>
              <w:t>（如HBM &lt; 100V、CDM等级定义），匹配对应管控强度。</w:t>
            </w:r>
          </w:p>
        </w:tc>
      </w:tr>
    </w:tbl>
    <w:p w14:paraId="7B74CFBC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4708C94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041F589C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218AA1F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69B8535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8" w:name="heading_11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.5 量化合规标准与实操要求</w:t>
      </w:r>
      <w:bookmarkEnd w:id="8"/>
    </w:p>
    <w:p w14:paraId="0BCEB553">
      <w:pPr>
        <w:numPr>
          <w:ilvl w:val="0"/>
          <w:numId w:val="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人员资质要求</w:t>
      </w:r>
      <w:r>
        <w:rPr>
          <w:rFonts w:hint="eastAsia" w:ascii="宋体" w:hAnsi="宋体" w:eastAsia="宋体" w:cs="宋体"/>
          <w:sz w:val="22"/>
        </w:rPr>
        <w:t>：专职ESD协调员必须完成外部权威机构ESD S20.20体系专项培训，取得有效资质证书，证书可溯源、在有效期内；每年完成不少于1次复训考核，保证专业能力合规。</w:t>
      </w:r>
    </w:p>
    <w:p w14:paraId="0DD041C7">
      <w:pPr>
        <w:numPr>
          <w:ilvl w:val="0"/>
          <w:numId w:val="1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体系文件完整性</w:t>
      </w:r>
      <w:r>
        <w:rPr>
          <w:rFonts w:hint="eastAsia" w:ascii="宋体" w:hAnsi="宋体" w:eastAsia="宋体" w:cs="宋体"/>
          <w:sz w:val="22"/>
        </w:rPr>
        <w:t>：全套受控文件必须包含8大核心模块，缺一不可：①EPA静电保护区划分规范 ②全员ESD分级培训制度 ③ESD日常稽查与考核管理制度 ④全厂接地系统管控规范 ⑤工程变更ESD风险评审制度 ⑥防静电耗材/设备采购验收管理制度 ⑦ESD异常处理与整改机制 ⑧敏感器件全流程防护管控规范。</w:t>
      </w:r>
    </w:p>
    <w:p w14:paraId="1AC7C1E1">
      <w:pPr>
        <w:numPr>
          <w:ilvl w:val="0"/>
          <w:numId w:val="1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文件管控要求</w:t>
      </w:r>
      <w:r>
        <w:rPr>
          <w:rFonts w:hint="eastAsia" w:ascii="宋体" w:hAnsi="宋体" w:eastAsia="宋体" w:cs="宋体"/>
          <w:sz w:val="22"/>
        </w:rPr>
        <w:t>：所有体系文件必须执行标准化版本管控（版本号、修订号、生效日期、作废记录齐全），加盖受控章，由授权人签字发布；作废文件统一回收存档，严禁现场留存作废版本。</w:t>
      </w:r>
    </w:p>
    <w:p w14:paraId="4C26195F">
      <w:pPr>
        <w:numPr>
          <w:ilvl w:val="0"/>
          <w:numId w:val="1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会议与评审要求</w:t>
      </w:r>
      <w:r>
        <w:rPr>
          <w:rFonts w:hint="eastAsia" w:ascii="宋体" w:hAnsi="宋体" w:eastAsia="宋体" w:cs="宋体"/>
          <w:sz w:val="22"/>
        </w:rPr>
        <w:t>：ESD管理小组每月至少召开1次跨部门ESD专项会议，复盘现场问题、整改落实、风险预警，留存完整会议纪要、问题清单、整改闭环记录；每年度开展1次ESD体系全面内审与管理评审。</w:t>
      </w:r>
    </w:p>
    <w:p w14:paraId="6ACB535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7F4961A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9" w:name="heading_12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.6 审厂高频不合格项与高阶避坑指南</w:t>
      </w:r>
      <w:bookmarkEnd w:id="9"/>
    </w:p>
    <w:p w14:paraId="6468BC8D">
      <w:pPr>
        <w:numPr>
          <w:ilvl w:val="0"/>
          <w:numId w:val="1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基础红线禁忌</w:t>
      </w:r>
      <w:r>
        <w:rPr>
          <w:rFonts w:hint="eastAsia" w:ascii="宋体" w:hAnsi="宋体" w:eastAsia="宋体" w:cs="宋体"/>
          <w:sz w:val="22"/>
        </w:rPr>
        <w:t>：杜绝“有架构无任命、有制度无执行”，审核员必查ESD负责人正式任命红头文件、资质证书、月度会议记录、年度评审报告，无书面凭证直接判定体系不合格；杜绝文件与现场实操脱节、部门权责空白问题。</w:t>
      </w:r>
    </w:p>
    <w:p w14:paraId="508F9F56">
      <w:pPr>
        <w:numPr>
          <w:ilvl w:val="0"/>
          <w:numId w:val="1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笔迹核查红线（新增）</w:t>
      </w:r>
      <w:r>
        <w:rPr>
          <w:rFonts w:hint="eastAsia" w:ascii="宋体" w:hAnsi="宋体" w:eastAsia="宋体" w:cs="宋体"/>
          <w:sz w:val="22"/>
        </w:rPr>
        <w:t>：审核员会严格核对ESD负责人《任命书》签字、体系文件审批签字、月度会议签到表笔迹一致性，严防资料伪造、代签、补签。</w:t>
      </w:r>
    </w:p>
    <w:p w14:paraId="79DC6CA6">
      <w:pPr>
        <w:numPr>
          <w:ilvl w:val="0"/>
          <w:numId w:val="1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审厂高分技巧（新增）</w:t>
      </w:r>
      <w:r>
        <w:rPr>
          <w:rFonts w:hint="eastAsia" w:ascii="宋体" w:hAnsi="宋体" w:eastAsia="宋体" w:cs="宋体"/>
          <w:sz w:val="22"/>
        </w:rPr>
        <w:t>：提前编制《ESD Risk Assessment Report 静电风险评估报告》，针对不同制程、不同区域、不同物料等级制定差异化管控策略，体现主动风险管控能力，为审厂加分核心项。</w:t>
      </w:r>
    </w:p>
    <w:p w14:paraId="2C42DD91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4"/>
          <w:szCs w:val="24"/>
        </w:rPr>
      </w:pPr>
      <w:bookmarkStart w:id="10" w:name="heading_13"/>
      <w:r>
        <w:rPr>
          <w:rFonts w:hint="eastAsia" w:ascii="宋体" w:hAnsi="宋体" w:eastAsia="宋体" w:cs="宋体"/>
          <w:b/>
          <w:sz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</w:rPr>
        <w:t>、全厂静电接地系统管控</w:t>
      </w:r>
      <w:r>
        <w:rPr>
          <w:rFonts w:hint="eastAsia" w:ascii="宋体" w:hAnsi="宋体" w:eastAsia="宋体" w:cs="宋体"/>
          <w:b/>
          <w:sz w:val="24"/>
          <w:szCs w:val="24"/>
        </w:rPr>
        <w:t>（Grounding System）</w:t>
      </w:r>
      <w:bookmarkEnd w:id="10"/>
    </w:p>
    <w:p w14:paraId="16BC3903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：接地是所有静电泄放的“高速公路”，必须做到低阻抗、独立布线、防腐蚀、防串接、可追溯，从硬件底层杜绝静电积聚与泄放失效风险。</w:t>
      </w:r>
    </w:p>
    <w:p w14:paraId="634CE288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1" w:name="heading_14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11"/>
    </w:p>
    <w:p w14:paraId="073D127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接地是ESD防护的核心基础，所有防静电设施、设备、工位必须实现可靠、独立、合规接地，杜绝虚接、串接、错接、无接地隐患，从源头消除静电积聚风险。</w:t>
      </w:r>
    </w:p>
    <w:p w14:paraId="32D65B1C">
      <w:pPr>
        <w:numPr>
          <w:ilvl w:val="0"/>
          <w:numId w:val="1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厂区是否设置</w:t>
      </w:r>
      <w:r>
        <w:rPr>
          <w:rFonts w:hint="eastAsia" w:ascii="宋体" w:hAnsi="宋体" w:eastAsia="宋体" w:cs="宋体"/>
          <w:b/>
          <w:sz w:val="22"/>
        </w:rPr>
        <w:t>独立静电专用接地系统</w:t>
      </w:r>
      <w:r>
        <w:rPr>
          <w:rFonts w:hint="eastAsia" w:ascii="宋体" w:hAnsi="宋体" w:eastAsia="宋体" w:cs="宋体"/>
          <w:sz w:val="22"/>
        </w:rPr>
        <w:t>或合规联合接地系统，与防雷接地、市电接地规范区分、合规混用？</w:t>
      </w:r>
    </w:p>
    <w:p w14:paraId="242B48E7">
      <w:pPr>
        <w:numPr>
          <w:ilvl w:val="0"/>
          <w:numId w:val="1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生产工位、测试设备、治具、货架、周转车、台垫是否通过专用接地端子、标准电阻合规接入公共接地点？</w:t>
      </w:r>
    </w:p>
    <w:p w14:paraId="5D46111E">
      <w:pPr>
        <w:numPr>
          <w:ilvl w:val="0"/>
          <w:numId w:val="1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全厂接地线是否统一使用</w:t>
      </w:r>
      <w:r>
        <w:rPr>
          <w:rFonts w:hint="eastAsia" w:ascii="宋体" w:hAnsi="宋体" w:eastAsia="宋体" w:cs="宋体"/>
          <w:b/>
          <w:sz w:val="22"/>
        </w:rPr>
        <w:t>黄绿双色专用接地线</w:t>
      </w:r>
      <w:r>
        <w:rPr>
          <w:rFonts w:hint="eastAsia" w:ascii="宋体" w:hAnsi="宋体" w:eastAsia="宋体" w:cs="宋体"/>
          <w:sz w:val="22"/>
        </w:rPr>
        <w:t>，接线端子无松动、氧化、生锈、断线、虚接问题？</w:t>
      </w:r>
    </w:p>
    <w:p w14:paraId="69618D9B">
      <w:pPr>
        <w:numPr>
          <w:ilvl w:val="0"/>
          <w:numId w:val="1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是否建立接地点位台账，明确所有接地点位编号、责任人、检测周期、检测数据？</w:t>
      </w:r>
    </w:p>
    <w:p w14:paraId="245F8893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2" w:name="heading_15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接地类型专业定义</w:t>
      </w:r>
      <w:bookmarkEnd w:id="12"/>
    </w:p>
    <w:p w14:paraId="6EB1CC95">
      <w:pPr>
        <w:numPr>
          <w:ilvl w:val="0"/>
          <w:numId w:val="2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AC Equipment Ground（设备保护接地）</w:t>
      </w:r>
      <w:r>
        <w:rPr>
          <w:rFonts w:hint="eastAsia" w:ascii="宋体" w:hAnsi="宋体" w:eastAsia="宋体" w:cs="宋体"/>
          <w:sz w:val="22"/>
        </w:rPr>
        <w:t>：设备机架、金属外壳统一接入电源保护地（PE），用于设备漏电防护、安全防护。</w:t>
      </w:r>
    </w:p>
    <w:p w14:paraId="13720FAC">
      <w:pPr>
        <w:numPr>
          <w:ilvl w:val="0"/>
          <w:numId w:val="2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Functional Ground（静电功能接地）</w:t>
      </w:r>
      <w:r>
        <w:rPr>
          <w:rFonts w:hint="eastAsia" w:ascii="宋体" w:hAnsi="宋体" w:eastAsia="宋体" w:cs="宋体"/>
          <w:sz w:val="22"/>
        </w:rPr>
        <w:t>：独立于市电电源系统的专用静电地桩、接地汇流排，专为静电泄放设计，为ESD核心接地载体。</w:t>
      </w:r>
    </w:p>
    <w:p w14:paraId="22CD1A10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3" w:name="heading_16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精准量化合规标准</w:t>
      </w:r>
      <w:bookmarkEnd w:id="13"/>
    </w:p>
    <w:p w14:paraId="1654A6BC">
      <w:pPr>
        <w:numPr>
          <w:ilvl w:val="0"/>
          <w:numId w:val="2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厂区总接地极（EBP公共接地点）</w:t>
      </w:r>
      <w:r>
        <w:rPr>
          <w:rFonts w:hint="eastAsia" w:ascii="宋体" w:hAnsi="宋体" w:eastAsia="宋体" w:cs="宋体"/>
          <w:sz w:val="22"/>
        </w:rPr>
        <w:t>：国标常规标准＜10Ω，高端精密制程（半导体、车载、医疗电子）强制理想管控值＜4Ω。</w:t>
      </w:r>
    </w:p>
    <w:p w14:paraId="295F2A7B">
      <w:pPr>
        <w:numPr>
          <w:ilvl w:val="0"/>
          <w:numId w:val="2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设备硬接地电阻</w:t>
      </w:r>
      <w:r>
        <w:rPr>
          <w:rFonts w:hint="eastAsia" w:ascii="宋体" w:hAnsi="宋体" w:eastAsia="宋体" w:cs="宋体"/>
          <w:sz w:val="22"/>
        </w:rPr>
        <w:t>：金属设备、机架、治具硬接地电阻＜1Ω，保证静电极速泄放、漏电保护有效。</w:t>
      </w:r>
    </w:p>
    <w:p w14:paraId="1ECB465F">
      <w:pPr>
        <w:numPr>
          <w:ilvl w:val="0"/>
          <w:numId w:val="2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软接地系统电阻（人员/台垫/周转器具）</w:t>
      </w:r>
      <w:r>
        <w:rPr>
          <w:rFonts w:hint="eastAsia" w:ascii="宋体" w:hAnsi="宋体" w:eastAsia="宋体" w:cs="宋体"/>
          <w:sz w:val="22"/>
        </w:rPr>
        <w:t>：严格管控区间</w:t>
      </w:r>
      <w:r>
        <w:rPr>
          <w:rFonts w:hint="eastAsia" w:ascii="宋体" w:hAnsi="宋体" w:eastAsia="宋体" w:cs="宋体"/>
          <w:b/>
          <w:sz w:val="22"/>
        </w:rPr>
        <w:t>7.5×10⁵Ω ~ 1×10⁹Ω</w:t>
      </w:r>
      <w:r>
        <w:rPr>
          <w:rFonts w:hint="eastAsia" w:ascii="宋体" w:hAnsi="宋体" w:eastAsia="宋体" w:cs="宋体"/>
          <w:sz w:val="22"/>
        </w:rPr>
        <w:t>，高阶精准标准为</w:t>
      </w:r>
      <w:r>
        <w:rPr>
          <w:rFonts w:hint="eastAsia" w:ascii="宋体" w:hAnsi="宋体" w:eastAsia="宋体" w:cs="宋体"/>
          <w:b/>
          <w:sz w:val="22"/>
        </w:rPr>
        <w:t>1MΩ ±10%</w:t>
      </w:r>
      <w:r>
        <w:rPr>
          <w:rFonts w:hint="eastAsia" w:ascii="宋体" w:hAnsi="宋体" w:eastAsia="宋体" w:cs="宋体"/>
          <w:sz w:val="22"/>
        </w:rPr>
        <w:t>，串联限流电阻设计，兼顾静电泄放效率与人身安全防护，杜绝触电风险。</w:t>
      </w:r>
    </w:p>
    <w:p w14:paraId="6F3941EA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4" w:name="heading_17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接地工艺与布线规范</w:t>
      </w:r>
      <w:bookmarkEnd w:id="14"/>
    </w:p>
    <w:p w14:paraId="39D6FA3B">
      <w:pPr>
        <w:numPr>
          <w:ilvl w:val="0"/>
          <w:numId w:val="2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拓扑结构红线</w:t>
      </w:r>
      <w:r>
        <w:rPr>
          <w:rFonts w:hint="eastAsia" w:ascii="宋体" w:hAnsi="宋体" w:eastAsia="宋体" w:cs="宋体"/>
          <w:sz w:val="22"/>
        </w:rPr>
        <w:t>：绝对禁止</w:t>
      </w:r>
      <w:r>
        <w:rPr>
          <w:rFonts w:hint="eastAsia" w:ascii="宋体" w:hAnsi="宋体" w:eastAsia="宋体" w:cs="宋体"/>
          <w:b/>
          <w:sz w:val="22"/>
        </w:rPr>
        <w:t>菊花链串接（Daisy Chaining）</w:t>
      </w:r>
      <w:r>
        <w:rPr>
          <w:rFonts w:hint="eastAsia" w:ascii="宋体" w:hAnsi="宋体" w:eastAsia="宋体" w:cs="宋体"/>
          <w:sz w:val="22"/>
        </w:rPr>
        <w:t>，严禁工位、设备依次串联接地；必须采用</w:t>
      </w:r>
      <w:r>
        <w:rPr>
          <w:rFonts w:hint="eastAsia" w:ascii="宋体" w:hAnsi="宋体" w:eastAsia="宋体" w:cs="宋体"/>
          <w:b/>
          <w:sz w:val="22"/>
        </w:rPr>
        <w:t>星型拓扑（Star Topology）</w:t>
      </w:r>
      <w:r>
        <w:rPr>
          <w:rFonts w:hint="eastAsia" w:ascii="宋体" w:hAnsi="宋体" w:eastAsia="宋体" w:cs="宋体"/>
          <w:sz w:val="22"/>
        </w:rPr>
        <w:t>，所有点位独立并联接入公共接地汇流排。</w:t>
      </w:r>
    </w:p>
    <w:p w14:paraId="21A84028">
      <w:pPr>
        <w:numPr>
          <w:ilvl w:val="0"/>
          <w:numId w:val="2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线径规格标准</w:t>
      </w:r>
      <w:r>
        <w:rPr>
          <w:rFonts w:hint="eastAsia" w:ascii="宋体" w:hAnsi="宋体" w:eastAsia="宋体" w:cs="宋体"/>
          <w:sz w:val="22"/>
        </w:rPr>
        <w:t>：接地主干线铜芯截面积≥6mm²，工位支线接地线铜芯截面积≥1.5mm²，满足大电流静电快速泄放要求。</w:t>
      </w:r>
    </w:p>
    <w:p w14:paraId="00D3CB7F">
      <w:pPr>
        <w:numPr>
          <w:ilvl w:val="0"/>
          <w:numId w:val="2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端子工艺要求</w:t>
      </w:r>
      <w:r>
        <w:rPr>
          <w:rFonts w:hint="eastAsia" w:ascii="宋体" w:hAnsi="宋体" w:eastAsia="宋体" w:cs="宋体"/>
          <w:sz w:val="22"/>
        </w:rPr>
        <w:t>：接地端子必须使用铜鼻子压接、镀锡防锈处理，接触面机架打磨除漆、除锈、压实紧固，杜绝氧化虚接。</w:t>
      </w:r>
    </w:p>
    <w:p w14:paraId="64760099">
      <w:pPr>
        <w:numPr>
          <w:ilvl w:val="0"/>
          <w:numId w:val="2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基础工艺红线（原有保留）</w:t>
      </w:r>
      <w:r>
        <w:rPr>
          <w:rFonts w:hint="eastAsia" w:ascii="宋体" w:hAnsi="宋体" w:eastAsia="宋体" w:cs="宋体"/>
          <w:sz w:val="22"/>
        </w:rPr>
        <w:t>：严禁接地线直接缠绕设备螺丝、机架喷漆面接地；必须使用专用接地端子、接地铜排。</w:t>
      </w:r>
    </w:p>
    <w:p w14:paraId="5B2FB7B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5" w:name="heading_18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.5 审厂避坑与禁忌红线</w:t>
      </w:r>
      <w:bookmarkEnd w:id="15"/>
    </w:p>
    <w:p w14:paraId="37DA2D01">
      <w:pPr>
        <w:numPr>
          <w:ilvl w:val="0"/>
          <w:numId w:val="2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致命违规项（新增）</w:t>
      </w:r>
      <w:r>
        <w:rPr>
          <w:rFonts w:hint="eastAsia" w:ascii="宋体" w:hAnsi="宋体" w:eastAsia="宋体" w:cs="宋体"/>
          <w:sz w:val="22"/>
        </w:rPr>
        <w:t>：严禁使用自来水管、暖气管、金属管道作为静电接地极，属于重大合规缺陷。</w:t>
      </w:r>
    </w:p>
    <w:p w14:paraId="64595EBB">
      <w:pPr>
        <w:numPr>
          <w:ilvl w:val="0"/>
          <w:numId w:val="3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标准测试方法（新增）</w:t>
      </w:r>
      <w:r>
        <w:rPr>
          <w:rFonts w:hint="eastAsia" w:ascii="宋体" w:hAnsi="宋体" w:eastAsia="宋体" w:cs="宋体"/>
          <w:sz w:val="22"/>
        </w:rPr>
        <w:t>：必须使用</w:t>
      </w:r>
      <w:r>
        <w:rPr>
          <w:rFonts w:hint="eastAsia" w:ascii="宋体" w:hAnsi="宋体" w:eastAsia="宋体" w:cs="宋体"/>
          <w:b/>
          <w:sz w:val="22"/>
        </w:rPr>
        <w:t>四线制接地电阻测试仪</w:t>
      </w:r>
      <w:r>
        <w:rPr>
          <w:rFonts w:hint="eastAsia" w:ascii="宋体" w:hAnsi="宋体" w:eastAsia="宋体" w:cs="宋体"/>
          <w:sz w:val="22"/>
        </w:rPr>
        <w:t>开展检测，规避引线电阻干扰，保证数据精准有效。</w:t>
      </w:r>
    </w:p>
    <w:p w14:paraId="13C0E191">
      <w:pPr>
        <w:numPr>
          <w:ilvl w:val="0"/>
          <w:numId w:val="3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原有核心红线保留</w:t>
      </w:r>
      <w:r>
        <w:rPr>
          <w:rFonts w:hint="eastAsia" w:ascii="宋体" w:hAnsi="宋体" w:eastAsia="宋体" w:cs="宋体"/>
          <w:sz w:val="22"/>
        </w:rPr>
        <w:t>：禁止接地线串接、接地失效、接地点氧化松动、私搭乱接、静电地与防雷/动力地违规混用。</w:t>
      </w:r>
    </w:p>
    <w:p w14:paraId="5384858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F6CA70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650268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4263885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01BA3C7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</w:rPr>
      </w:pPr>
      <w:bookmarkStart w:id="16" w:name="heading_19"/>
      <w:r>
        <w:rPr>
          <w:rFonts w:hint="eastAsia" w:ascii="宋体" w:hAnsi="宋体" w:eastAsia="宋体" w:cs="宋体"/>
          <w:b/>
          <w:sz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</w:rPr>
        <w:t>、EPA静电保护区划分与标识管理</w:t>
      </w:r>
      <w:r>
        <w:rPr>
          <w:rFonts w:hint="eastAsia" w:ascii="宋体" w:hAnsi="宋体" w:eastAsia="宋体" w:cs="宋体"/>
          <w:b/>
          <w:sz w:val="24"/>
          <w:szCs w:val="24"/>
        </w:rPr>
        <w:t>（EPA Zoning）</w:t>
      </w:r>
      <w:bookmarkEnd w:id="16"/>
    </w:p>
    <w:p w14:paraId="0BF5611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：严格区分“静电安全区”与“静电危险区”，通过物理隔离、分区管控、流程约束，实现敏感器件全流程零裸露风险管控，物理隔离是ESD现场管控第一道防线。</w:t>
      </w:r>
    </w:p>
    <w:p w14:paraId="4D096D7F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7" w:name="heading_20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4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17"/>
    </w:p>
    <w:p w14:paraId="544109A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EPA（静电保护区）为敏感器件生产、组装、测试、存储的核心管控区域，必须实现边界清晰、隔离规范、标识完整、准入受控，杜绝无防护作业、跨区域违规周转。</w:t>
      </w:r>
    </w:p>
    <w:p w14:paraId="0EDEE8CA">
      <w:pPr>
        <w:numPr>
          <w:ilvl w:val="0"/>
          <w:numId w:val="3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全厂敏感器件作业区域是否完成明确的EPA区域划分，核心作业区、缓冲区、非防静电区物理隔离清晰？</w:t>
      </w:r>
    </w:p>
    <w:p w14:paraId="408A7E37">
      <w:pPr>
        <w:numPr>
          <w:ilvl w:val="0"/>
          <w:numId w:val="3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EPA区域边界、入口、关键点位是否张贴标准ESD警示标识、防护须知、作业规范？</w:t>
      </w:r>
    </w:p>
    <w:p w14:paraId="05792EF2">
      <w:pPr>
        <w:numPr>
          <w:ilvl w:val="0"/>
          <w:numId w:val="3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EPA入口是否配置人体综合测试仪、静电释放装置、防静电用品更换缓冲区，实现全员准入管控？</w:t>
      </w:r>
    </w:p>
    <w:p w14:paraId="408F8ACA">
      <w:pPr>
        <w:numPr>
          <w:ilvl w:val="0"/>
          <w:numId w:val="3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非EPA区域的敏感器件周转、存放是否全程使用合规静电屏蔽包装，无裸露、无裸放？</w:t>
      </w:r>
    </w:p>
    <w:p w14:paraId="1F2F99A0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8" w:name="heading_21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4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三级EPA区域分级定义与管控标准</w:t>
      </w:r>
      <w:bookmarkEnd w:id="18"/>
    </w:p>
    <w:tbl>
      <w:tblPr>
        <w:tblStyle w:val="6"/>
        <w:tblW w:w="10454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5"/>
        <w:gridCol w:w="8249"/>
      </w:tblGrid>
      <w:tr w14:paraId="45CF4F5C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tblHeader/>
        </w:trPr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75C180AB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区域定义</w:t>
            </w:r>
          </w:p>
        </w:tc>
        <w:tc>
          <w:tcPr>
            <w:tcW w:w="8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115E093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管控措施</w:t>
            </w:r>
          </w:p>
        </w:tc>
      </w:tr>
      <w:tr w14:paraId="6003D8F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5463CF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 xml:space="preserve">EPA Core Zone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(核心区)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C8A8AF9">
            <w:pPr>
              <w:numPr>
                <w:ilvl w:val="0"/>
                <w:numId w:val="36"/>
              </w:num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EPA Core Zone 静电核心区</w:t>
            </w:r>
            <w:r>
              <w:rPr>
                <w:rFonts w:hint="eastAsia" w:ascii="宋体" w:hAnsi="宋体" w:eastAsia="宋体" w:cs="宋体"/>
                <w:sz w:val="22"/>
              </w:rPr>
              <w:t>：定义为直接开展芯片、IC、裸PCB、精密元器件贴片、烧录、组装、测试的作业区域。管控要求：全域铺设合规防静电台垫、离子风机全覆盖无死角、人员100%全套ESD防护、禁止任何普通绝缘物料入场。</w:t>
            </w:r>
          </w:p>
        </w:tc>
      </w:tr>
      <w:tr w14:paraId="6BD507C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F23B50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EPA Buffer Zone (缓冲区)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8857C62">
            <w:pPr>
              <w:numPr>
                <w:ilvl w:val="0"/>
                <w:numId w:val="37"/>
              </w:num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EPA Buffer Zone 静电缓冲区</w:t>
            </w:r>
            <w:r>
              <w:rPr>
                <w:rFonts w:hint="eastAsia" w:ascii="宋体" w:hAnsi="宋体" w:eastAsia="宋体" w:cs="宋体"/>
                <w:sz w:val="22"/>
              </w:rPr>
              <w:t>：定义为物料入库交接、外包装拆除、物料暂存、人员换装测试的过渡区域。管控要求：配置人体综合测试仪、防静电鞋柜、静电释放器、物料拆包台，所有物料必须在此完成外层普通包装拆除，方可进入核心区。</w:t>
            </w:r>
          </w:p>
        </w:tc>
      </w:tr>
      <w:tr w14:paraId="1040558F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05F966C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Non-EPA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      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 xml:space="preserve"> (非静电区)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4001A6D">
            <w:pPr>
              <w:numPr>
                <w:ilvl w:val="0"/>
                <w:numId w:val="38"/>
              </w:num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Non-EPA 非静电区</w:t>
            </w:r>
            <w:r>
              <w:rPr>
                <w:rFonts w:hint="eastAsia" w:ascii="宋体" w:hAnsi="宋体" w:eastAsia="宋体" w:cs="宋体"/>
                <w:sz w:val="22"/>
              </w:rPr>
              <w:t>：定义为办公室、普通仓库、走道等无静电防护区域。管控要求：所有静电敏感元器件严禁裸放、裸露、裸拆，必须全程处于合规静电屏蔽包装内，依托法拉第笼原理实现被动防护。</w:t>
            </w:r>
          </w:p>
          <w:p w14:paraId="7522ECDD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</w:p>
        </w:tc>
      </w:tr>
    </w:tbl>
    <w:p w14:paraId="31BA532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4FC1145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6F9179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5BA630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2B2DE5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09DE31A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19" w:name="heading_22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4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量化合规与实操标准</w:t>
      </w:r>
      <w:bookmarkEnd w:id="19"/>
    </w:p>
    <w:p w14:paraId="0AF3C0EF">
      <w:pPr>
        <w:numPr>
          <w:ilvl w:val="0"/>
          <w:numId w:val="3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区域隔离标准</w:t>
      </w:r>
      <w:r>
        <w:rPr>
          <w:rFonts w:hint="eastAsia" w:ascii="宋体" w:hAnsi="宋体" w:eastAsia="宋体" w:cs="宋体"/>
          <w:sz w:val="22"/>
        </w:rPr>
        <w:t>：EPA边界采用</w:t>
      </w:r>
      <w:r>
        <w:rPr>
          <w:rFonts w:hint="eastAsia" w:ascii="宋体" w:hAnsi="宋体" w:eastAsia="宋体" w:cs="宋体"/>
          <w:b/>
          <w:sz w:val="22"/>
        </w:rPr>
        <w:t>黄黑警示胶带（宽度≥5cm）</w:t>
      </w:r>
      <w:r>
        <w:rPr>
          <w:rFonts w:hint="eastAsia" w:ascii="宋体" w:hAnsi="宋体" w:eastAsia="宋体" w:cs="宋体"/>
          <w:sz w:val="22"/>
        </w:rPr>
        <w:t>或物理围栏、护栏隔离，胶带无破损、翘边、脱落；区域边界线全程连续无断点。</w:t>
      </w:r>
    </w:p>
    <w:p w14:paraId="4EB4AF71">
      <w:pPr>
        <w:numPr>
          <w:ilvl w:val="0"/>
          <w:numId w:val="4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标识标准</w:t>
      </w:r>
      <w:r>
        <w:rPr>
          <w:rFonts w:hint="eastAsia" w:ascii="宋体" w:hAnsi="宋体" w:eastAsia="宋体" w:cs="宋体"/>
          <w:sz w:val="22"/>
        </w:rPr>
        <w:t>：所有标识必须包含国标防静电警示图标（黄色三角形斜杠手势标识）、“静电保护区”文字、准入要求（佩戴手环、穿戴防静电服鞋）、管控责任人。</w:t>
      </w:r>
    </w:p>
    <w:p w14:paraId="6B5FADD3">
      <w:pPr>
        <w:numPr>
          <w:ilvl w:val="0"/>
          <w:numId w:val="4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准入管控标准</w:t>
      </w:r>
      <w:r>
        <w:rPr>
          <w:rFonts w:hint="eastAsia" w:ascii="宋体" w:hAnsi="宋体" w:eastAsia="宋体" w:cs="宋体"/>
          <w:sz w:val="22"/>
        </w:rPr>
        <w:t>：所有人员进入EPA必须经过静电释放、人体电阻测试，测试合格方可进入；外来访客、设备维修人员必须佩戴临时防静电用品、登记备案后方可进入。</w:t>
      </w:r>
    </w:p>
    <w:p w14:paraId="321F99D8">
      <w:pPr>
        <w:numPr>
          <w:ilvl w:val="0"/>
          <w:numId w:val="4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物料周转标准</w:t>
      </w:r>
      <w:r>
        <w:rPr>
          <w:rFonts w:hint="eastAsia" w:ascii="宋体" w:hAnsi="宋体" w:eastAsia="宋体" w:cs="宋体"/>
          <w:sz w:val="22"/>
        </w:rPr>
        <w:t>：所有IC、PCB、芯片、精密电子元器件，严禁在非EPA区域拆包、裸露、分拣；所有拆包、上料、检验作业必须在EPA核心区内完成。</w:t>
      </w:r>
    </w:p>
    <w:p w14:paraId="258211CE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0" w:name="heading_23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4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审厂高频问题与高阶避坑指南</w:t>
      </w:r>
      <w:bookmarkEnd w:id="20"/>
    </w:p>
    <w:p w14:paraId="06B4239B">
      <w:pPr>
        <w:numPr>
          <w:ilvl w:val="0"/>
          <w:numId w:val="4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包装性能抽检（新增高阶审核点）</w:t>
      </w:r>
      <w:r>
        <w:rPr>
          <w:rFonts w:hint="eastAsia" w:ascii="宋体" w:hAnsi="宋体" w:eastAsia="宋体" w:cs="宋体"/>
          <w:sz w:val="22"/>
        </w:rPr>
        <w:t>：审核员可现场使用静电枪轰击防静电包装袋外侧，配合场强计检测包装袋内部感应电压，合规标准：</w:t>
      </w:r>
      <w:r>
        <w:rPr>
          <w:rFonts w:hint="eastAsia" w:ascii="宋体" w:hAnsi="宋体" w:eastAsia="宋体" w:cs="宋体"/>
          <w:b/>
          <w:sz w:val="22"/>
        </w:rPr>
        <w:t>内部感应电压＜50V</w:t>
      </w:r>
      <w:r>
        <w:rPr>
          <w:rFonts w:hint="eastAsia" w:ascii="宋体" w:hAnsi="宋体" w:eastAsia="宋体" w:cs="宋体"/>
          <w:sz w:val="22"/>
        </w:rPr>
        <w:t>，否则判定屏蔽失效。</w:t>
      </w:r>
    </w:p>
    <w:p w14:paraId="6F51D982">
      <w:pPr>
        <w:numPr>
          <w:ilvl w:val="0"/>
          <w:numId w:val="4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拆包流程红线（新增）</w:t>
      </w:r>
      <w:r>
        <w:rPr>
          <w:rFonts w:hint="eastAsia" w:ascii="宋体" w:hAnsi="宋体" w:eastAsia="宋体" w:cs="宋体"/>
          <w:sz w:val="22"/>
        </w:rPr>
        <w:t>：严禁在非缓冲区、非EPA区拆除物料外包装，裸手禁止直接触碰芯片引脚、PCB金手指，必须在指定缓冲区完成拆包过渡。</w:t>
      </w:r>
    </w:p>
    <w:p w14:paraId="60EBDD38">
      <w:pPr>
        <w:numPr>
          <w:ilvl w:val="0"/>
          <w:numId w:val="4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原有高频问题保留</w:t>
      </w:r>
      <w:r>
        <w:rPr>
          <w:rFonts w:hint="eastAsia" w:ascii="宋体" w:hAnsi="宋体" w:eastAsia="宋体" w:cs="宋体"/>
          <w:sz w:val="22"/>
        </w:rPr>
        <w:t>：EPA边界胶带破损、区域隔离模糊、人员随意进出、物料跨区裸露等问题均为高频不合格项。</w:t>
      </w:r>
    </w:p>
    <w:p w14:paraId="0CD6516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56AB90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47CCA1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03242C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B5D60F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3691F4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528F922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26E6C34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032B8C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D95420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2D3E51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54034F7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1983A0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AC3544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41155D6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77E2798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0"/>
          <w:szCs w:val="20"/>
        </w:rPr>
      </w:pPr>
      <w:bookmarkStart w:id="21" w:name="heading_24"/>
      <w:r>
        <w:rPr>
          <w:rFonts w:hint="eastAsia" w:ascii="宋体" w:hAnsi="宋体" w:eastAsia="宋体" w:cs="宋体"/>
          <w:b/>
          <w:sz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</w:rPr>
        <w:t>、人员静电防护管控</w:t>
      </w:r>
      <w:r>
        <w:rPr>
          <w:rFonts w:hint="eastAsia" w:ascii="宋体" w:hAnsi="宋体" w:eastAsia="宋体" w:cs="宋体"/>
          <w:b/>
          <w:sz w:val="24"/>
          <w:szCs w:val="24"/>
        </w:rPr>
        <w:t>（Personnel Grounding）</w:t>
      </w:r>
      <w:bookmarkEnd w:id="21"/>
    </w:p>
    <w:p w14:paraId="5C351D0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：人体活动摩擦是生产现场最大、最不可控的静电源，人体静电电压可高达数千至上万伏，必须通过标准化穿戴、测试、作业规范，彻底消除人体静电损伤风险。</w:t>
      </w:r>
    </w:p>
    <w:p w14:paraId="015ED6C2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2" w:name="heading_25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22"/>
    </w:p>
    <w:p w14:paraId="2528D97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人员是现场静电产生的最大变量，所有进入EPA区域、接触静电敏感元器件的人员，必须100%合规穿戴、测试、作业，杜绝人为ESD隐患。</w:t>
      </w:r>
    </w:p>
    <w:p w14:paraId="6181EE74">
      <w:pPr>
        <w:numPr>
          <w:ilvl w:val="0"/>
          <w:numId w:val="4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所有EPA作业人员是否每日班前100%完成人体综合电阻测试，测试记录完整、真实、可追溯？</w:t>
      </w:r>
    </w:p>
    <w:p w14:paraId="5B23FF57">
      <w:pPr>
        <w:numPr>
          <w:ilvl w:val="0"/>
          <w:numId w:val="4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防静电服、防静电鞋、静电手环是否定期检测，性能参数持续合规？</w:t>
      </w:r>
    </w:p>
    <w:p w14:paraId="067E5330">
      <w:pPr>
        <w:numPr>
          <w:ilvl w:val="0"/>
          <w:numId w:val="4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接触精密敏感器件、裸板PCB、芯片时，是否全程规范佩戴有线静电手环，无违规作业行为？</w:t>
      </w:r>
    </w:p>
    <w:p w14:paraId="2673AEA7">
      <w:pPr>
        <w:numPr>
          <w:ilvl w:val="0"/>
          <w:numId w:val="4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是否存在衣袖外露、衣物私露、手环佩戴不规范、穿戴普通服饰作业等违规行为？</w:t>
      </w:r>
    </w:p>
    <w:p w14:paraId="0BB8552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EC496A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3" w:name="heading_26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防护装备技术参数与失效机理</w:t>
      </w:r>
      <w:bookmarkEnd w:id="23"/>
    </w:p>
    <w:tbl>
      <w:tblPr>
        <w:tblStyle w:val="6"/>
        <w:tblW w:w="10469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6"/>
        <w:gridCol w:w="8303"/>
      </w:tblGrid>
      <w:tr w14:paraId="453436E6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  <w:tblHeader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6C9E4C8E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防护装备</w:t>
            </w:r>
          </w:p>
        </w:tc>
        <w:tc>
          <w:tcPr>
            <w:tcW w:w="8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5780F521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技术参数与失效机理</w:t>
            </w:r>
          </w:p>
        </w:tc>
      </w:tr>
      <w:tr w14:paraId="1C052D6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C5289AF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防静电手腕带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3ADB3D4">
            <w:pPr>
              <w:numPr>
                <w:ilvl w:val="0"/>
                <w:numId w:val="50"/>
              </w:numPr>
              <w:spacing w:before="120" w:after="120" w:line="288" w:lineRule="auto"/>
              <w:ind w:left="0" w:leftChars="0" w:firstLine="440" w:firstLineChars="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系统电阻合规区间</w:t>
            </w:r>
            <w:r>
              <w:rPr>
                <w:rFonts w:ascii="宋体" w:hAnsi="宋体" w:eastAsia="宋体" w:cs="宋体"/>
                <w:sz w:val="24"/>
                <w:szCs w:val="24"/>
              </w:rPr>
              <w:t>防静电鞋对地电阻：7.5×10⁵Ω ～ 1×10⁹Ω</w:t>
            </w:r>
            <w:r>
              <w:rPr>
                <w:rFonts w:hint="eastAsia" w:ascii="宋体" w:hAnsi="宋体" w:eastAsia="宋体" w:cs="宋体"/>
                <w:sz w:val="22"/>
              </w:rPr>
              <w:t>，常规管控标准0.9~1.2MΩ；</w:t>
            </w:r>
          </w:p>
          <w:p w14:paraId="228D8F46">
            <w:pPr>
              <w:numPr>
                <w:ilvl w:val="0"/>
                <w:numId w:val="50"/>
              </w:numPr>
              <w:spacing w:before="120" w:after="120" w:line="288" w:lineRule="auto"/>
              <w:ind w:left="0" w:leftChars="0" w:firstLine="440" w:firstLineChars="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常见失效模式：内部线路断线、金属扣氧化、松紧带老化失弹导致皮肤接触不良；</w:t>
            </w:r>
          </w:p>
          <w:p w14:paraId="7F37291C">
            <w:pPr>
              <w:numPr>
                <w:ilvl w:val="0"/>
                <w:numId w:val="50"/>
              </w:numPr>
              <w:spacing w:before="120" w:after="120" w:line="288" w:lineRule="auto"/>
              <w:ind w:left="0" w:leftChars="0" w:firstLine="442" w:firstLineChars="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红线要求</w:t>
            </w:r>
            <w:r>
              <w:rPr>
                <w:rFonts w:hint="eastAsia" w:ascii="宋体" w:hAnsi="宋体" w:eastAsia="宋体" w:cs="宋体"/>
                <w:sz w:val="22"/>
              </w:rPr>
              <w:t>：常规固定工位严禁使用无线手环，仅特殊移动工位可合规使用且必须搭配导电地板。</w:t>
            </w:r>
          </w:p>
          <w:p w14:paraId="491DC9DD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69AF77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8C91EAC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防静电服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6AA70FD">
            <w:pPr>
              <w:pStyle w:val="5"/>
              <w:keepNext w:val="0"/>
              <w:keepLines w:val="0"/>
              <w:widowControl/>
              <w:numPr>
                <w:ilvl w:val="0"/>
                <w:numId w:val="51"/>
              </w:numPr>
              <w:suppressLineNumbers w:val="0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面料标准为涤纶长丝+导电纤维，网格型导电结构防护性能优于条纹型；</w:t>
            </w:r>
          </w:p>
          <w:p w14:paraId="2B2AF7C3">
            <w:pPr>
              <w:pStyle w:val="5"/>
              <w:keepNext w:val="0"/>
              <w:keepLines w:val="0"/>
              <w:widowControl/>
              <w:numPr>
                <w:ilvl w:val="0"/>
                <w:numId w:val="51"/>
              </w:numPr>
              <w:suppressLineNumbers w:val="0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失效机理：工业洗涤会持续磨损断裂导电纤维，导致表面电阻指数级上升；</w:t>
            </w:r>
          </w:p>
          <w:p w14:paraId="7B83935A">
            <w:pPr>
              <w:pStyle w:val="5"/>
              <w:keepNext w:val="0"/>
              <w:keepLines w:val="0"/>
              <w:widowControl/>
              <w:numPr>
                <w:ilvl w:val="0"/>
                <w:numId w:val="51"/>
              </w:numPr>
              <w:suppressLineNumbers w:val="0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合规标准：经过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50次工业洗涤后，表面电阻仍＜1×10⁹Ω</w:t>
            </w:r>
            <w:r>
              <w:rPr>
                <w:rFonts w:hint="eastAsia" w:ascii="宋体" w:hAnsi="宋体" w:eastAsia="宋体" w:cs="宋体"/>
                <w:sz w:val="22"/>
              </w:rPr>
              <w:t>。</w:t>
            </w:r>
          </w:p>
        </w:tc>
      </w:tr>
      <w:tr w14:paraId="00BFEA3D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3D8BEF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防静电鞋/脚跟带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8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E10AE4A">
            <w:pPr>
              <w:pStyle w:val="5"/>
              <w:keepNext w:val="0"/>
              <w:keepLines w:val="0"/>
              <w:widowControl/>
              <w:numPr>
                <w:ilvl w:val="0"/>
                <w:numId w:val="52"/>
              </w:numPr>
              <w:suppressLineNumbers w:val="0"/>
              <w:ind w:left="0" w:leftChars="0" w:firstLine="40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对地电阻合规区间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750KΩ ~ 100MΩ</w:t>
            </w:r>
            <w:r>
              <w:rPr>
                <w:rFonts w:hint="eastAsia" w:ascii="宋体" w:hAnsi="宋体" w:eastAsia="宋体" w:cs="宋体"/>
                <w:sz w:val="22"/>
              </w:rPr>
              <w:t>（兼容原有</w:t>
            </w:r>
            <w:r>
              <w:rPr>
                <w:rFonts w:ascii="宋体" w:hAnsi="宋体" w:eastAsia="宋体" w:cs="宋体"/>
                <w:sz w:val="24"/>
                <w:szCs w:val="24"/>
              </w:rPr>
              <w:t>7.5×10⁵Ω ～ 1×10⁹Ω</w:t>
            </w:r>
            <w:r>
              <w:rPr>
                <w:rFonts w:hint="eastAsia" w:ascii="宋体" w:hAnsi="宋体" w:eastAsia="宋体" w:cs="宋体"/>
                <w:sz w:val="22"/>
              </w:rPr>
              <w:t>Ω通用标准）；脚跟带为高频损耗件，极易磨损失效，必须每周开展电阻测试。</w:t>
            </w:r>
          </w:p>
        </w:tc>
      </w:tr>
    </w:tbl>
    <w:p w14:paraId="2E9856D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E54C57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23B0DA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B6FCB02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2DDDAFC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8B693B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4" w:name="heading_27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精准量化参数标准</w:t>
      </w:r>
      <w:bookmarkEnd w:id="24"/>
    </w:p>
    <w:p w14:paraId="569A4D8A">
      <w:pPr>
        <w:numPr>
          <w:ilvl w:val="0"/>
          <w:numId w:val="5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人体综合电阻合格区间</w:t>
      </w:r>
      <w:r>
        <w:rPr>
          <w:rFonts w:hint="eastAsia" w:ascii="宋体" w:hAnsi="宋体" w:eastAsia="宋体" w:cs="宋体"/>
          <w:sz w:val="22"/>
        </w:rPr>
        <w:t>：</w:t>
      </w:r>
      <w:r>
        <w:rPr>
          <w:rFonts w:ascii="宋体" w:hAnsi="宋体" w:eastAsia="宋体" w:cs="宋体"/>
          <w:sz w:val="24"/>
          <w:szCs w:val="24"/>
        </w:rPr>
        <w:t>7.5×10⁵Ω ～ 1×10⁹Ω</w:t>
      </w:r>
    </w:p>
    <w:p w14:paraId="46CD987F">
      <w:pPr>
        <w:numPr>
          <w:ilvl w:val="0"/>
          <w:numId w:val="5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防静电服表面电阻</w:t>
      </w:r>
      <w:r>
        <w:rPr>
          <w:rFonts w:hint="eastAsia" w:ascii="宋体" w:hAnsi="宋体" w:eastAsia="宋体" w:cs="宋体"/>
          <w:sz w:val="22"/>
        </w:rPr>
        <w:t xml:space="preserve">：1×10⁵Ω </w:t>
      </w:r>
      <w:r>
        <w:rPr>
          <w:rFonts w:ascii="宋体" w:hAnsi="宋体" w:eastAsia="宋体" w:cs="宋体"/>
          <w:sz w:val="24"/>
          <w:szCs w:val="24"/>
        </w:rPr>
        <w:t>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</w:rPr>
        <w:t>1×10⁹Ω</w:t>
      </w:r>
    </w:p>
    <w:p w14:paraId="2E706762">
      <w:pPr>
        <w:numPr>
          <w:ilvl w:val="0"/>
          <w:numId w:val="5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防静电鞋对地电阻</w:t>
      </w:r>
      <w:r>
        <w:rPr>
          <w:rFonts w:hint="eastAsia" w:ascii="宋体" w:hAnsi="宋体" w:eastAsia="宋体" w:cs="宋体"/>
          <w:sz w:val="22"/>
        </w:rPr>
        <w:t xml:space="preserve">：5×10⁴Ω </w:t>
      </w:r>
      <w:r>
        <w:rPr>
          <w:rFonts w:ascii="宋体" w:hAnsi="宋体" w:eastAsia="宋体" w:cs="宋体"/>
          <w:sz w:val="24"/>
          <w:szCs w:val="24"/>
        </w:rPr>
        <w:t>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</w:rPr>
        <w:t xml:space="preserve"> 1.0×10⁹Ω</w:t>
      </w:r>
    </w:p>
    <w:p w14:paraId="2482CDBC">
      <w:pPr>
        <w:numPr>
          <w:ilvl w:val="0"/>
          <w:numId w:val="5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有线腕带系统总电阻</w:t>
      </w:r>
      <w:r>
        <w:rPr>
          <w:rFonts w:hint="eastAsia" w:ascii="宋体" w:hAnsi="宋体" w:eastAsia="宋体" w:cs="宋体"/>
          <w:sz w:val="22"/>
        </w:rPr>
        <w:t xml:space="preserve">：0.9MΩ </w:t>
      </w:r>
      <w:r>
        <w:rPr>
          <w:rFonts w:ascii="宋体" w:hAnsi="宋体" w:eastAsia="宋体" w:cs="宋体"/>
          <w:sz w:val="24"/>
          <w:szCs w:val="24"/>
        </w:rPr>
        <w:t>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</w:rPr>
        <w:t>1.2MΩ，保证静电平稳泄放，无击穿器件风险</w:t>
      </w:r>
    </w:p>
    <w:p w14:paraId="38C619CA">
      <w:pPr>
        <w:numPr>
          <w:ilvl w:val="0"/>
          <w:numId w:val="5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穿戴寿命管控</w:t>
      </w:r>
      <w:r>
        <w:rPr>
          <w:rFonts w:hint="eastAsia" w:ascii="宋体" w:hAnsi="宋体" w:eastAsia="宋体" w:cs="宋体"/>
          <w:sz w:val="22"/>
        </w:rPr>
        <w:t>：防静电服每洗涤10次开展一次电阻抽检，20~50次洗涤后强制全检，导电纤维老化失效立即报废更换；防静电鞋每季度全面检测一次。</w:t>
      </w:r>
    </w:p>
    <w:p w14:paraId="6479BE0F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5" w:name="heading_28"/>
    </w:p>
    <w:p w14:paraId="260A07DD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审厂红线与高阶避坑细则</w:t>
      </w:r>
      <w:bookmarkEnd w:id="25"/>
    </w:p>
    <w:p w14:paraId="737BE8A0">
      <w:pPr>
        <w:numPr>
          <w:ilvl w:val="0"/>
          <w:numId w:val="5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着装孤岛效应</w:t>
      </w:r>
      <w:r>
        <w:rPr>
          <w:rFonts w:hint="eastAsia" w:ascii="宋体" w:hAnsi="宋体" w:eastAsia="宋体" w:cs="宋体"/>
          <w:sz w:val="22"/>
        </w:rPr>
        <w:t>：防静电服必须全程拉合拉链、收紧袖口，禁止衣领、袖口、普通内衣外露；若衣物不导电、仅佩戴手环，会形成人体静电孤岛，无法泄放静电，极易击穿精密器件。</w:t>
      </w:r>
    </w:p>
    <w:p w14:paraId="6DFC3038">
      <w:pPr>
        <w:numPr>
          <w:ilvl w:val="0"/>
          <w:numId w:val="5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测试频率规范</w:t>
      </w:r>
      <w:r>
        <w:rPr>
          <w:rFonts w:hint="eastAsia" w:ascii="宋体" w:hAnsi="宋体" w:eastAsia="宋体" w:cs="宋体"/>
          <w:sz w:val="22"/>
        </w:rPr>
        <w:t>：人员每日上班前、午休复工后，必须各完成1次人体综合电阻测试，数据实时留档，无测试记录禁止上岗作业。</w:t>
      </w:r>
    </w:p>
    <w:p w14:paraId="5052F8E4">
      <w:pPr>
        <w:numPr>
          <w:ilvl w:val="0"/>
          <w:numId w:val="6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原有核心红线保留</w:t>
      </w:r>
      <w:r>
        <w:rPr>
          <w:rFonts w:hint="eastAsia" w:ascii="宋体" w:hAnsi="宋体" w:eastAsia="宋体" w:cs="宋体"/>
          <w:sz w:val="22"/>
        </w:rPr>
        <w:t>：严禁无线手环常规使用、手环未贴肤佩戴、化纤衣物入场、测试记录造假补填等违规行为。</w:t>
      </w:r>
    </w:p>
    <w:p w14:paraId="51F3B003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7829852B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56EBD2F6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4AB7BBD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498678A3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4496D58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59245883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577B544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547FBF70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30BF4ED1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047B33B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747377C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13C823EC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4314450E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</w:rPr>
      </w:pPr>
      <w:bookmarkStart w:id="26" w:name="heading_29"/>
      <w:r>
        <w:rPr>
          <w:rFonts w:hint="eastAsia" w:ascii="宋体" w:hAnsi="宋体" w:eastAsia="宋体" w:cs="宋体"/>
          <w:b/>
          <w:sz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</w:rPr>
        <w:t>、设备与工位静电防护管控</w:t>
      </w:r>
      <w:r>
        <w:rPr>
          <w:rFonts w:hint="eastAsia" w:ascii="宋体" w:hAnsi="宋体" w:eastAsia="宋体" w:cs="宋体"/>
          <w:b/>
          <w:sz w:val="24"/>
          <w:szCs w:val="24"/>
        </w:rPr>
        <w:t>（Equipment &amp; Workstation）</w:t>
      </w:r>
      <w:bookmarkEnd w:id="26"/>
    </w:p>
    <w:p w14:paraId="0B7B94C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：彻底消除现场</w:t>
      </w:r>
      <w:r>
        <w:rPr>
          <w:rFonts w:hint="eastAsia" w:ascii="宋体" w:hAnsi="宋体" w:eastAsia="宋体" w:cs="宋体"/>
          <w:b/>
          <w:sz w:val="22"/>
        </w:rPr>
        <w:t>非接地孤立导体（Isolated Conductors）</w:t>
      </w:r>
      <w:r>
        <w:rPr>
          <w:rFonts w:hint="eastAsia" w:ascii="宋体" w:hAnsi="宋体" w:eastAsia="宋体" w:cs="宋体"/>
          <w:sz w:val="22"/>
        </w:rPr>
        <w:t>与带电绝缘体，从工位、设备、工具层面根除静电积聚载体，实现工位零静电源。</w:t>
      </w:r>
    </w:p>
    <w:p w14:paraId="01C95541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7" w:name="heading_30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6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27"/>
    </w:p>
    <w:p w14:paraId="060FFD3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工位、设备、治具、器具是现场静电积聚的主要载体，需实现全工位、全设备防静电管控，彻底清除孤立导体与静电积聚源。</w:t>
      </w:r>
    </w:p>
    <w:p w14:paraId="614D7B79">
      <w:pPr>
        <w:numPr>
          <w:ilvl w:val="0"/>
          <w:numId w:val="6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防静电台垫的点对点电阻、点对地电阻是否定期检测、记录、合规？</w:t>
      </w:r>
    </w:p>
    <w:p w14:paraId="2007BEF4">
      <w:pPr>
        <w:numPr>
          <w:ilvl w:val="0"/>
          <w:numId w:val="6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电烙铁、吸锡器、电动螺丝批、热风枪等所有手持作业工具是否可靠接地、静电参数达标？</w:t>
      </w:r>
    </w:p>
    <w:p w14:paraId="2B37C3CD">
      <w:pPr>
        <w:numPr>
          <w:ilvl w:val="0"/>
          <w:numId w:val="6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工位、作业区域内是否存在未接地孤立导体、普通绝缘物料等高风险静电源？</w:t>
      </w:r>
    </w:p>
    <w:p w14:paraId="487E2F04">
      <w:pPr>
        <w:numPr>
          <w:ilvl w:val="0"/>
          <w:numId w:val="6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生产线货架、物料周转车、治具托盘、工装板是否全部合规接地、参数达标？</w:t>
      </w:r>
    </w:p>
    <w:p w14:paraId="766ADD2B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8" w:name="heading_31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6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设备工位高阶专业标准</w:t>
      </w:r>
      <w:bookmarkEnd w:id="28"/>
    </w:p>
    <w:p w14:paraId="214A476F">
      <w:pPr>
        <w:numPr>
          <w:ilvl w:val="0"/>
          <w:numId w:val="6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防静电工作台与台垫</w:t>
      </w:r>
      <w:r>
        <w:rPr>
          <w:rFonts w:hint="eastAsia" w:ascii="宋体" w:hAnsi="宋体" w:eastAsia="宋体" w:cs="宋体"/>
          <w:sz w:val="22"/>
        </w:rPr>
        <w:t>：台垫必须采用双层结构（表层静电耗散层、底层导电层），台垫与接地线之间必须串联1MΩ限流电阻；点对地、点对点电阻合规区间</w:t>
      </w:r>
      <w:r>
        <w:rPr>
          <w:rFonts w:hint="eastAsia" w:ascii="宋体" w:hAnsi="宋体" w:eastAsia="宋体" w:cs="宋体"/>
          <w:b/>
          <w:sz w:val="22"/>
        </w:rPr>
        <w:t xml:space="preserve">1×10⁶Ω </w:t>
      </w:r>
      <w:r>
        <w:rPr>
          <w:rFonts w:ascii="宋体" w:hAnsi="宋体" w:eastAsia="宋体" w:cs="宋体"/>
          <w:sz w:val="24"/>
          <w:szCs w:val="24"/>
        </w:rPr>
        <w:t>~</w:t>
      </w:r>
      <w:r>
        <w:rPr>
          <w:rFonts w:hint="eastAsia" w:ascii="宋体" w:hAnsi="宋体" w:eastAsia="宋体" w:cs="宋体"/>
          <w:b/>
          <w:sz w:val="22"/>
        </w:rPr>
        <w:t xml:space="preserve"> 1×10⁹Ω</w:t>
      </w:r>
      <w:r>
        <w:rPr>
          <w:rFonts w:hint="eastAsia" w:ascii="宋体" w:hAnsi="宋体" w:eastAsia="宋体" w:cs="宋体"/>
          <w:sz w:val="22"/>
        </w:rPr>
        <w:t>。</w:t>
      </w:r>
    </w:p>
    <w:p w14:paraId="3B6D8F95">
      <w:pPr>
        <w:numPr>
          <w:ilvl w:val="0"/>
          <w:numId w:val="6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焊接工具专业参数</w:t>
      </w:r>
      <w:r>
        <w:rPr>
          <w:rFonts w:hint="eastAsia" w:ascii="宋体" w:hAnsi="宋体" w:eastAsia="宋体" w:cs="宋体"/>
          <w:sz w:val="22"/>
        </w:rPr>
        <w:t>：电烙铁尖端对地电压＜2mV（示波器AC耦合模式测量），常规管控＜1V（最高允许≤2V），接地阻抗＜2Ω，杜绝高压静电击穿芯片。</w:t>
      </w:r>
    </w:p>
    <w:p w14:paraId="0ED2D1BD">
      <w:pPr>
        <w:numPr>
          <w:ilvl w:val="0"/>
          <w:numId w:val="6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气动工具管控</w:t>
      </w:r>
      <w:r>
        <w:rPr>
          <w:rFonts w:hint="eastAsia" w:ascii="宋体" w:hAnsi="宋体" w:eastAsia="宋体" w:cs="宋体"/>
          <w:sz w:val="22"/>
        </w:rPr>
        <w:t>：风枪、气动打磨工具等气动设备，必须加装专用静电消电器或接地链条，消除摩擦产生的高压静电。</w:t>
      </w:r>
    </w:p>
    <w:p w14:paraId="5875D0A3">
      <w:pPr>
        <w:numPr>
          <w:ilvl w:val="0"/>
          <w:numId w:val="6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孤立导体管控定义</w:t>
      </w:r>
      <w:r>
        <w:rPr>
          <w:rFonts w:hint="eastAsia" w:ascii="宋体" w:hAnsi="宋体" w:eastAsia="宋体" w:cs="宋体"/>
          <w:sz w:val="22"/>
        </w:rPr>
        <w:t>：未接地的金属螺丝刀、钢尺、手表、金属治具等均为孤立导体，必须全部移除或独立接入公共接地点，禁止悬空放置工位。</w:t>
      </w:r>
    </w:p>
    <w:p w14:paraId="3DBD99EB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29" w:name="heading_32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6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量化合规标准</w:t>
      </w:r>
      <w:bookmarkEnd w:id="29"/>
    </w:p>
    <w:p w14:paraId="2093AD6C">
      <w:pPr>
        <w:numPr>
          <w:ilvl w:val="0"/>
          <w:numId w:val="6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防静电台垫参数</w:t>
      </w:r>
      <w:r>
        <w:rPr>
          <w:rFonts w:hint="eastAsia" w:ascii="宋体" w:hAnsi="宋体" w:eastAsia="宋体" w:cs="宋体"/>
          <w:sz w:val="22"/>
        </w:rPr>
        <w:t xml:space="preserve">：点对点、点对地电阻统一管控区间 </w:t>
      </w:r>
      <w:r>
        <w:rPr>
          <w:rFonts w:ascii="宋体" w:hAnsi="宋体" w:eastAsia="宋体" w:cs="宋体"/>
          <w:sz w:val="24"/>
          <w:szCs w:val="24"/>
        </w:rPr>
        <w:t>7.5×10⁵Ω ~ 1×10⁹Ω</w:t>
      </w:r>
      <w:r>
        <w:rPr>
          <w:rFonts w:hint="eastAsia" w:ascii="宋体" w:hAnsi="宋体" w:eastAsia="宋体" w:cs="宋体"/>
          <w:sz w:val="22"/>
        </w:rPr>
        <w:t>。</w:t>
      </w:r>
    </w:p>
    <w:p w14:paraId="0911155A">
      <w:pPr>
        <w:numPr>
          <w:ilvl w:val="0"/>
          <w:numId w:val="7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焊接设备静电管控</w:t>
      </w:r>
      <w:r>
        <w:rPr>
          <w:rFonts w:hint="eastAsia" w:ascii="宋体" w:hAnsi="宋体" w:eastAsia="宋体" w:cs="宋体"/>
          <w:sz w:val="22"/>
        </w:rPr>
        <w:t>：烙铁头对地电压＜1V（最高允许≤2V），杜绝高压静电击穿芯片。</w:t>
      </w:r>
    </w:p>
    <w:p w14:paraId="5C6E6802">
      <w:pPr>
        <w:numPr>
          <w:ilvl w:val="0"/>
          <w:numId w:val="7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仓储周转器具</w:t>
      </w:r>
      <w:r>
        <w:rPr>
          <w:rFonts w:hint="eastAsia" w:ascii="宋体" w:hAnsi="宋体" w:eastAsia="宋体" w:cs="宋体"/>
          <w:sz w:val="22"/>
        </w:rPr>
        <w:t xml:space="preserve">：货架、周转车、工装板对地电阻 </w:t>
      </w:r>
      <w:r>
        <w:rPr>
          <w:rFonts w:ascii="宋体" w:hAnsi="宋体" w:eastAsia="宋体" w:cs="宋体"/>
          <w:sz w:val="24"/>
          <w:szCs w:val="24"/>
        </w:rPr>
        <w:t>7.5×10⁵Ω ~ 1×10⁹Ω</w:t>
      </w:r>
      <w:r>
        <w:rPr>
          <w:rFonts w:hint="eastAsia" w:ascii="宋体" w:hAnsi="宋体" w:eastAsia="宋体" w:cs="宋体"/>
          <w:sz w:val="22"/>
        </w:rPr>
        <w:t>。</w:t>
      </w:r>
    </w:p>
    <w:p w14:paraId="583D03A4">
      <w:pPr>
        <w:numPr>
          <w:ilvl w:val="0"/>
          <w:numId w:val="7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sz w:val="22"/>
        </w:rPr>
        <w:t>工位洁净管控</w:t>
      </w:r>
      <w:r>
        <w:rPr>
          <w:rFonts w:hint="eastAsia" w:ascii="宋体" w:hAnsi="宋体" w:eastAsia="宋体" w:cs="宋体"/>
          <w:sz w:val="22"/>
        </w:rPr>
        <w:t>：EPA工位禁止存放普通塑料杯、亚克力板、普通透明胶带、普通泡沫、普通塑料袋、化纤抹布等绝缘高静电物料。</w:t>
      </w:r>
      <w:bookmarkStart w:id="30" w:name="heading_33"/>
    </w:p>
    <w:p w14:paraId="6D41842F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6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审厂重点问题与高阶避坑指南</w:t>
      </w:r>
      <w:bookmarkEnd w:id="30"/>
    </w:p>
    <w:p w14:paraId="15F367B3">
      <w:pPr>
        <w:numPr>
          <w:ilvl w:val="0"/>
          <w:numId w:val="7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绝缘体零容忍红线</w:t>
      </w:r>
      <w:r>
        <w:rPr>
          <w:rFonts w:hint="eastAsia" w:ascii="宋体" w:hAnsi="宋体" w:eastAsia="宋体" w:cs="宋体"/>
          <w:sz w:val="22"/>
        </w:rPr>
        <w:t>：普通塑料、透明胶带、泡沫、普通纸皮为审厂致命零容忍项目，一经发现直接判定重大不符合项。</w:t>
      </w:r>
    </w:p>
    <w:p w14:paraId="1044120D">
      <w:pPr>
        <w:numPr>
          <w:ilvl w:val="0"/>
          <w:numId w:val="7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电场检测标准</w:t>
      </w:r>
      <w:r>
        <w:rPr>
          <w:rFonts w:hint="eastAsia" w:ascii="宋体" w:hAnsi="宋体" w:eastAsia="宋体" w:cs="宋体"/>
          <w:sz w:val="22"/>
        </w:rPr>
        <w:t>：可使用静电场强计检测工位表面电场，合规标准：</w:t>
      </w:r>
      <w:r>
        <w:rPr>
          <w:rFonts w:hint="eastAsia" w:ascii="宋体" w:hAnsi="宋体" w:eastAsia="宋体" w:cs="宋体"/>
          <w:b/>
          <w:sz w:val="22"/>
        </w:rPr>
        <w:t>电场强度＜200V/inch</w:t>
      </w:r>
      <w:r>
        <w:rPr>
          <w:rFonts w:hint="eastAsia" w:ascii="宋体" w:hAnsi="宋体" w:eastAsia="宋体" w:cs="宋体"/>
          <w:sz w:val="22"/>
        </w:rPr>
        <w:t>。</w:t>
      </w:r>
    </w:p>
    <w:p w14:paraId="75F13901">
      <w:pPr>
        <w:numPr>
          <w:ilvl w:val="0"/>
          <w:numId w:val="7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高频问题</w:t>
      </w:r>
      <w:r>
        <w:rPr>
          <w:rFonts w:hint="eastAsia" w:ascii="宋体" w:hAnsi="宋体" w:eastAsia="宋体" w:cs="宋体"/>
          <w:sz w:val="22"/>
        </w:rPr>
        <w:t>：自动化设备粉尘积静电、老旧台垫老化失效、工位器具接地失效等问题需重点管控。</w:t>
      </w:r>
    </w:p>
    <w:p w14:paraId="4A847373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4"/>
          <w:szCs w:val="24"/>
        </w:rPr>
      </w:pPr>
      <w:bookmarkStart w:id="31" w:name="heading_34"/>
      <w:r>
        <w:rPr>
          <w:rFonts w:hint="eastAsia" w:ascii="宋体" w:hAnsi="宋体" w:eastAsia="宋体" w:cs="宋体"/>
          <w:b/>
          <w:sz w:val="36"/>
          <w:lang w:val="en-US" w:eastAsia="zh-CN"/>
        </w:rPr>
        <w:t>七</w:t>
      </w:r>
      <w:r>
        <w:rPr>
          <w:rFonts w:hint="eastAsia" w:ascii="宋体" w:hAnsi="宋体" w:eastAsia="宋体" w:cs="宋体"/>
          <w:b/>
          <w:sz w:val="36"/>
        </w:rPr>
        <w:t>、离子风机与静电中和设备管控</w:t>
      </w:r>
      <w:r>
        <w:rPr>
          <w:rFonts w:hint="eastAsia" w:ascii="宋体" w:hAnsi="宋体" w:eastAsia="宋体" w:cs="宋体"/>
          <w:b/>
          <w:sz w:val="24"/>
          <w:szCs w:val="24"/>
        </w:rPr>
        <w:t>（Ionization）</w:t>
      </w:r>
      <w:bookmarkEnd w:id="31"/>
    </w:p>
    <w:p w14:paraId="5A0936B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：绝缘物料（PCB板材、塑胶外壳、包装辅料）无法通过接地泄放静电，必须依靠离子设备输出正负离子，动态中和表面积聚静电，是精密制程必备的被动防护手段。</w:t>
      </w:r>
    </w:p>
    <w:p w14:paraId="553F8488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2" w:name="heading_35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7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32"/>
    </w:p>
    <w:p w14:paraId="0368BA5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针对无法接地的绝缘物料、高频静电产生工位，需通过离子设备实现静电中和，是精密制程必备防护手段，设备性能、校准、点检必须全程受控。</w:t>
      </w:r>
    </w:p>
    <w:p w14:paraId="1BA30F35">
      <w:pPr>
        <w:numPr>
          <w:ilvl w:val="0"/>
          <w:numId w:val="7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离子风机、离子风棒、离子风枪的离子平衡度（残余偏移电压）是否符合标准要求？</w:t>
      </w:r>
    </w:p>
    <w:p w14:paraId="2151CDD1">
      <w:pPr>
        <w:numPr>
          <w:ilvl w:val="0"/>
          <w:numId w:val="7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设备静电消散时间是否达标，可快速中和表面积聚静电？</w:t>
      </w:r>
    </w:p>
    <w:p w14:paraId="5EC59387">
      <w:pPr>
        <w:numPr>
          <w:ilvl w:val="0"/>
          <w:numId w:val="7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设备滤网、发射针是否定期清洁、保养，有无积灰、氧化、失效问题？</w:t>
      </w:r>
    </w:p>
    <w:p w14:paraId="4AA82971">
      <w:pPr>
        <w:numPr>
          <w:ilvl w:val="0"/>
          <w:numId w:val="7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是否建立设备台账、日常点检、定期校准、维修保养完整记录？</w:t>
      </w:r>
    </w:p>
    <w:p w14:paraId="14669933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3" w:name="heading_36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7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核心参数专业解读</w:t>
      </w:r>
      <w:bookmarkEnd w:id="33"/>
    </w:p>
    <w:tbl>
      <w:tblPr>
        <w:tblStyle w:val="6"/>
        <w:tblW w:w="10293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3"/>
        <w:gridCol w:w="7870"/>
      </w:tblGrid>
      <w:tr w14:paraId="1E80B52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19601CCD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参数指标</w:t>
            </w:r>
          </w:p>
        </w:tc>
        <w:tc>
          <w:tcPr>
            <w:tcW w:w="7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26C2753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详细解读</w:t>
            </w:r>
          </w:p>
        </w:tc>
      </w:tr>
      <w:tr w14:paraId="6F12646C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F7A370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离子平衡度 (Balance)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7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B32951E">
            <w:pPr>
              <w:pStyle w:val="5"/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定义:</w:t>
            </w:r>
            <w:r>
              <w:rPr>
                <w:rFonts w:hint="eastAsia" w:ascii="宋体" w:hAnsi="宋体" w:eastAsia="宋体" w:cs="宋体"/>
                <w:vertAlign w:val="baseline"/>
              </w:rPr>
              <w:t>​ 正离子与负离子的数量差。</w:t>
            </w:r>
            <w:r>
              <w:rPr>
                <w:rFonts w:hint="eastAsia" w:ascii="宋体" w:hAnsi="宋体" w:eastAsia="宋体" w:cs="宋体"/>
                <w:vertAlign w:val="baseline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标准:</w:t>
            </w:r>
            <w:r>
              <w:rPr>
                <w:rFonts w:hint="eastAsia" w:ascii="宋体" w:hAnsi="宋体" w:eastAsia="宋体" w:cs="宋体"/>
                <w:vertAlign w:val="baseline"/>
              </w:rPr>
              <w:t xml:space="preserve">​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±35V</w:t>
            </w:r>
            <w:r>
              <w:rPr>
                <w:rFonts w:hint="eastAsia" w:ascii="宋体" w:hAnsi="宋体" w:eastAsia="宋体" w:cs="宋体"/>
                <w:vertAlign w:val="baseline"/>
              </w:rPr>
              <w:t>​ (严苛标准) / ±50V (通用标准)。</w:t>
            </w:r>
            <w:r>
              <w:rPr>
                <w:rFonts w:hint="eastAsia" w:ascii="宋体" w:hAnsi="宋体" w:eastAsia="宋体" w:cs="宋体"/>
                <w:vertAlign w:val="baseline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风险:</w:t>
            </w:r>
            <w:r>
              <w:rPr>
                <w:rFonts w:hint="eastAsia" w:ascii="宋体" w:hAnsi="宋体" w:eastAsia="宋体" w:cs="宋体"/>
                <w:vertAlign w:val="baseline"/>
              </w:rPr>
              <w:t>​ 失衡会导致器件带静电，引发潜在损伤。</w:t>
            </w:r>
          </w:p>
        </w:tc>
      </w:tr>
      <w:tr w14:paraId="1D006172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591F32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 xml:space="preserve">衰减时间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       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(Decay Time)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7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BDF6FAF">
            <w:pPr>
              <w:pStyle w:val="5"/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定义:</w:t>
            </w:r>
            <w:r>
              <w:rPr>
                <w:rFonts w:hint="eastAsia" w:ascii="宋体" w:hAnsi="宋体" w:eastAsia="宋体" w:cs="宋体"/>
                <w:vertAlign w:val="baseline"/>
              </w:rPr>
              <w:t>​ 将1000V静电中和至100V所需的时间。</w:t>
            </w:r>
            <w:r>
              <w:rPr>
                <w:rFonts w:hint="eastAsia" w:ascii="宋体" w:hAnsi="宋体" w:eastAsia="宋体" w:cs="宋体"/>
                <w:vertAlign w:val="baseline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标准:</w:t>
            </w:r>
            <w:r>
              <w:rPr>
                <w:rFonts w:hint="eastAsia" w:ascii="宋体" w:hAnsi="宋体" w:eastAsia="宋体" w:cs="宋体"/>
                <w:vertAlign w:val="baseline"/>
              </w:rPr>
              <w:t xml:space="preserve">​ 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&lt; 10秒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(</w:t>
            </w:r>
            <w:r>
              <w:rPr>
                <w:rFonts w:ascii="宋体" w:hAnsi="宋体" w:eastAsia="宋体" w:cs="宋体"/>
                <w:sz w:val="24"/>
                <w:szCs w:val="24"/>
              </w:rPr>
              <w:t>在测试距离 30cm / 60cm 条件下，±1000V→100V 衰减时间 ≤10s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)</w:t>
            </w:r>
            <w:r>
              <w:rPr>
                <w:rFonts w:hint="eastAsia" w:ascii="宋体" w:hAnsi="宋体" w:eastAsia="宋体" w:cs="宋体"/>
                <w:vertAlign w:val="baseline"/>
              </w:rPr>
              <w:t>。</w:t>
            </w:r>
            <w:r>
              <w:rPr>
                <w:rFonts w:hint="eastAsia" w:ascii="宋体" w:hAnsi="宋体" w:eastAsia="宋体" w:cs="宋体"/>
                <w:vertAlign w:val="baseline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影响因素:</w:t>
            </w:r>
            <w:r>
              <w:rPr>
                <w:rFonts w:hint="eastAsia" w:ascii="宋体" w:hAnsi="宋体" w:eastAsia="宋体" w:cs="宋体"/>
                <w:vertAlign w:val="baseline"/>
              </w:rPr>
              <w:t>​ 气流速度、环境湿度、发射针清洁度。</w:t>
            </w:r>
          </w:p>
        </w:tc>
      </w:tr>
      <w:tr w14:paraId="3B8D566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CE8AC1A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维护周期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</w:p>
        </w:tc>
        <w:tc>
          <w:tcPr>
            <w:tcW w:w="7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9E07751">
            <w:pPr>
              <w:pStyle w:val="5"/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清洁:</w:t>
            </w:r>
            <w:r>
              <w:rPr>
                <w:rFonts w:hint="eastAsia" w:ascii="宋体" w:hAnsi="宋体" w:eastAsia="宋体" w:cs="宋体"/>
                <w:vertAlign w:val="baseline"/>
              </w:rPr>
              <w:t>​ 每周清洁发射针（使用无水乙醇）。</w:t>
            </w:r>
            <w:r>
              <w:rPr>
                <w:rFonts w:hint="eastAsia" w:ascii="宋体" w:hAnsi="宋体" w:eastAsia="宋体" w:cs="宋体"/>
                <w:vertAlign w:val="baseline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校准:</w:t>
            </w:r>
            <w:r>
              <w:rPr>
                <w:rFonts w:hint="eastAsia" w:ascii="宋体" w:hAnsi="宋体" w:eastAsia="宋体" w:cs="宋体"/>
                <w:vertAlign w:val="baseline"/>
              </w:rPr>
              <w:t>​ 每季度进行一次平衡度与衰减测试。</w:t>
            </w:r>
          </w:p>
        </w:tc>
      </w:tr>
    </w:tbl>
    <w:p w14:paraId="690ECFA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64FE9EE1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4" w:name="heading_37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7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标准化维护校准周期</w:t>
      </w:r>
      <w:bookmarkEnd w:id="34"/>
    </w:p>
    <w:tbl>
      <w:tblPr>
        <w:tblStyle w:val="6"/>
        <w:tblW w:w="10451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8201"/>
      </w:tblGrid>
      <w:tr w14:paraId="4C477CF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77941E3F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参数指标</w:t>
            </w:r>
          </w:p>
        </w:tc>
        <w:tc>
          <w:tcPr>
            <w:tcW w:w="8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0852A71D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详细解读</w:t>
            </w:r>
          </w:p>
        </w:tc>
      </w:tr>
      <w:tr w14:paraId="5D3DB3A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FCCE4B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Style w:val="8"/>
                <w:rFonts w:hint="eastAsia" w:ascii="宋体" w:hAnsi="宋体" w:eastAsia="宋体" w:cs="宋体"/>
                <w:shd w:val="clear" w:fill="B8CCE4" w:themeFill="accent1" w:themeFillTint="66"/>
                <w:vertAlign w:val="baseline"/>
              </w:rPr>
              <w:t>维护周期</w:t>
            </w:r>
            <w:r>
              <w:rPr>
                <w:rFonts w:hint="eastAsia" w:ascii="宋体" w:hAnsi="宋体" w:eastAsia="宋体" w:cs="宋体"/>
                <w:shd w:val="clear" w:fill="B8CCE4" w:themeFill="accent1" w:themeFillTint="66"/>
                <w:vertAlign w:val="baseline"/>
              </w:rPr>
              <w:t>​</w:t>
            </w:r>
          </w:p>
        </w:tc>
        <w:tc>
          <w:tcPr>
            <w:tcW w:w="8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EE781F4">
            <w:pPr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日常保养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: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  <w:r>
              <w:rPr>
                <w:rFonts w:hint="eastAsia" w:ascii="宋体" w:hAnsi="宋体" w:eastAsia="宋体" w:cs="宋体"/>
                <w:sz w:val="22"/>
              </w:rPr>
              <w:t>每周使用无水乙醇清洁设备滤网、离子发射针，去除积灰与氧化层。</w:t>
            </w:r>
          </w:p>
          <w:p w14:paraId="66375060"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定期校准</w:t>
            </w:r>
            <w:r>
              <w:rPr>
                <w:rStyle w:val="8"/>
                <w:rFonts w:hint="eastAsia" w:ascii="宋体" w:hAnsi="宋体" w:eastAsia="宋体" w:cs="宋体"/>
                <w:vertAlign w:val="baseline"/>
              </w:rPr>
              <w:t>:</w:t>
            </w:r>
            <w:r>
              <w:rPr>
                <w:rFonts w:hint="eastAsia" w:ascii="宋体" w:hAnsi="宋体" w:eastAsia="宋体" w:cs="宋体"/>
                <w:vertAlign w:val="baseline"/>
              </w:rPr>
              <w:t>​</w:t>
            </w:r>
            <w:r>
              <w:rPr>
                <w:rFonts w:hint="eastAsia" w:ascii="宋体" w:hAnsi="宋体" w:eastAsia="宋体" w:cs="宋体"/>
                <w:sz w:val="22"/>
              </w:rPr>
              <w:t>每季度开展一次离子平衡度、衰减时间全项校准测试，留存完整测试报告。</w:t>
            </w:r>
          </w:p>
        </w:tc>
      </w:tr>
    </w:tbl>
    <w:p w14:paraId="5E7302F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4906D26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34463FA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</w:rPr>
      </w:pPr>
    </w:p>
    <w:p w14:paraId="795C7FF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5" w:name="heading_38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7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精准量化标准</w:t>
      </w:r>
      <w:bookmarkEnd w:id="35"/>
    </w:p>
    <w:p w14:paraId="00B73C1E">
      <w:pPr>
        <w:numPr>
          <w:ilvl w:val="0"/>
          <w:numId w:val="8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离子平衡度（残余电压）</w:t>
      </w:r>
      <w:r>
        <w:rPr>
          <w:rFonts w:hint="eastAsia" w:ascii="宋体" w:hAnsi="宋体" w:eastAsia="宋体" w:cs="宋体"/>
          <w:sz w:val="22"/>
        </w:rPr>
        <w:t>：常规标准≤±50V，高端精密制程（芯片、车载、医疗）严控≤±35V。</w:t>
      </w:r>
    </w:p>
    <w:p w14:paraId="3606A69F">
      <w:pPr>
        <w:numPr>
          <w:ilvl w:val="0"/>
          <w:numId w:val="8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静电消散时间</w:t>
      </w:r>
      <w:r>
        <w:rPr>
          <w:rFonts w:hint="eastAsia" w:ascii="宋体" w:hAnsi="宋体" w:eastAsia="宋体" w:cs="宋体"/>
          <w:sz w:val="22"/>
        </w:rPr>
        <w:t>：标准工况下，±1000V静电压降降至±100V的时间＜5~10s。</w:t>
      </w:r>
    </w:p>
    <w:p w14:paraId="24B8442D">
      <w:pPr>
        <w:numPr>
          <w:ilvl w:val="0"/>
          <w:numId w:val="8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保养周期</w:t>
      </w:r>
      <w:r>
        <w:rPr>
          <w:rFonts w:hint="eastAsia" w:ascii="宋体" w:hAnsi="宋体" w:eastAsia="宋体" w:cs="宋体"/>
          <w:sz w:val="22"/>
        </w:rPr>
        <w:t>：滤网每周清洁1次，发射针每月清洁校准1次，整机每季度第三方校准1次。</w:t>
      </w:r>
    </w:p>
    <w:p w14:paraId="41FA199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6" w:name="heading_39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7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.5 审厂避坑核心</w:t>
      </w:r>
      <w:bookmarkEnd w:id="36"/>
    </w:p>
    <w:p w14:paraId="63C4C4CC">
      <w:pPr>
        <w:numPr>
          <w:ilvl w:val="0"/>
          <w:numId w:val="8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摆放位置规范（新增）</w:t>
      </w:r>
      <w:r>
        <w:rPr>
          <w:rFonts w:hint="eastAsia" w:ascii="宋体" w:hAnsi="宋体" w:eastAsia="宋体" w:cs="宋体"/>
          <w:sz w:val="22"/>
        </w:rPr>
        <w:t>：离子风机出风口必须正对IC、芯片等最敏感作业区域，无物料、治具遮挡，保证离子覆盖无死角。</w:t>
      </w:r>
    </w:p>
    <w:p w14:paraId="44DDEE9F">
      <w:pPr>
        <w:numPr>
          <w:ilvl w:val="0"/>
          <w:numId w:val="8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数据有效性要求（新增）</w:t>
      </w:r>
      <w:r>
        <w:rPr>
          <w:rFonts w:hint="eastAsia" w:ascii="宋体" w:hAnsi="宋体" w:eastAsia="宋体" w:cs="宋体"/>
          <w:sz w:val="22"/>
        </w:rPr>
        <w:t>：设备校准、点检必须留存</w:t>
      </w:r>
      <w:r>
        <w:rPr>
          <w:rFonts w:hint="eastAsia" w:ascii="宋体" w:hAnsi="宋体" w:eastAsia="宋体" w:cs="宋体"/>
          <w:b/>
          <w:sz w:val="22"/>
        </w:rPr>
        <w:t>带时间戳的测试图表数据</w:t>
      </w:r>
      <w:r>
        <w:rPr>
          <w:rFonts w:hint="eastAsia" w:ascii="宋体" w:hAnsi="宋体" w:eastAsia="宋体" w:cs="宋体"/>
          <w:sz w:val="22"/>
        </w:rPr>
        <w:t>，禁止仅填写合格/不合格勾选记录，数据需可溯源、可复盘。</w:t>
      </w:r>
    </w:p>
    <w:p w14:paraId="4684EBF9">
      <w:pPr>
        <w:numPr>
          <w:ilvl w:val="0"/>
          <w:numId w:val="8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原有核心风险保留</w:t>
      </w:r>
      <w:r>
        <w:rPr>
          <w:rFonts w:hint="eastAsia" w:ascii="宋体" w:hAnsi="宋体" w:eastAsia="宋体" w:cs="宋体"/>
          <w:sz w:val="22"/>
        </w:rPr>
        <w:t>：滤网积灰、发射针氧化会导致离子失衡，反向产生静电击穿元器件，属于重大质量风险。</w:t>
      </w:r>
    </w:p>
    <w:p w14:paraId="0456BD9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50882CE5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FA3B18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AA5CC3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6B1B287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260156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7B42A0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91DD59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07BA84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24E83B9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2D21E55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0B043BB8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8C8EE1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2E8DB21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37570DD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67AB05B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7CFA97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17CCD0D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78C7D37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486150C9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4"/>
          <w:szCs w:val="24"/>
        </w:rPr>
      </w:pPr>
      <w:bookmarkStart w:id="37" w:name="heading_40"/>
      <w:r>
        <w:rPr>
          <w:rFonts w:hint="eastAsia" w:ascii="宋体" w:hAnsi="宋体" w:eastAsia="宋体" w:cs="宋体"/>
          <w:b/>
          <w:sz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sz w:val="36"/>
        </w:rPr>
        <w:t>、防静电包装与周转材料管控</w:t>
      </w:r>
      <w:r>
        <w:rPr>
          <w:rFonts w:hint="eastAsia" w:ascii="宋体" w:hAnsi="宋体" w:eastAsia="宋体" w:cs="宋体"/>
          <w:b/>
          <w:sz w:val="24"/>
          <w:szCs w:val="24"/>
        </w:rPr>
        <w:t>（Packaging）</w:t>
      </w:r>
      <w:bookmarkEnd w:id="37"/>
    </w:p>
    <w:p w14:paraId="528C834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：依托法拉第笼屏蔽原理，建立“导电接触+耗散过渡+屏蔽防护”三级物料防护体系，实现敏感器件从进料、仓储、生产、出货全流程闭环防护。</w:t>
      </w:r>
    </w:p>
    <w:p w14:paraId="3F8A4F0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8" w:name="heading_41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8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38"/>
    </w:p>
    <w:p w14:paraId="45051B47">
      <w:p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敏感器件从进料、仓储、周转、生产、出货全流程需闭环防护，包装材料性能合规、管控可追溯，杜绝物料流转过程静电损伤。</w:t>
      </w:r>
    </w:p>
    <w:p w14:paraId="1C79996F">
      <w:pPr>
        <w:numPr>
          <w:ilvl w:val="0"/>
          <w:numId w:val="86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是否编制《ESD敏感元器件清单（ESDS List）》，明确所有静电敏感物料等级、防护要求、包装规范？</w:t>
      </w:r>
    </w:p>
    <w:p w14:paraId="50F2B9F2">
      <w:pPr>
        <w:numPr>
          <w:ilvl w:val="0"/>
          <w:numId w:val="87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防静电屏蔽袋、导电周转箱、防静电吸塑盘、隔离膜是否执行IQC来料检验？</w:t>
      </w:r>
    </w:p>
    <w:p w14:paraId="57546E41">
      <w:pPr>
        <w:numPr>
          <w:ilvl w:val="0"/>
          <w:numId w:val="88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所有防静电耗材是否具备第三方检测报告、材质证明、合规证书？</w:t>
      </w:r>
    </w:p>
    <w:p w14:paraId="573F6817">
      <w:pPr>
        <w:numPr>
          <w:ilvl w:val="0"/>
          <w:numId w:val="89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物料全流程周转是否做到分级防护，无普通包装混用、裸放裸露问题？</w:t>
      </w:r>
    </w:p>
    <w:p w14:paraId="4F9AF85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39" w:name="heading_42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8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包装材料分级标准</w:t>
      </w:r>
      <w:bookmarkEnd w:id="39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5051"/>
      </w:tblGrid>
      <w:tr w14:paraId="61FCD7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9158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包装类型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C1FB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表面电阻/核心参数</w:t>
            </w:r>
          </w:p>
        </w:tc>
        <w:tc>
          <w:tcPr>
            <w:tcW w:w="5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C0B4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适用场景</w:t>
            </w:r>
          </w:p>
        </w:tc>
      </w:tr>
      <w:tr w14:paraId="77A7D2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8AEEB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导电型（Conductive）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C5ECA9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＜1×10⁴Ω</w:t>
            </w:r>
          </w:p>
        </w:tc>
        <w:tc>
          <w:tcPr>
            <w:tcW w:w="5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7FD6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直接接触裸露芯片、晶圆、精密裸元器件，黑色硬质周转箱为主</w:t>
            </w:r>
          </w:p>
        </w:tc>
      </w:tr>
      <w:tr w14:paraId="310509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3854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耗散型（Dissipative）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9A18C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1×10⁴Ω ~ 1×10¹¹Ω</w:t>
            </w:r>
          </w:p>
        </w:tc>
        <w:tc>
          <w:tcPr>
            <w:tcW w:w="5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07AF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PCBA半成品、成品组件周转、吸塑托盘，粉色/蓝色防静电材质</w:t>
            </w:r>
          </w:p>
        </w:tc>
      </w:tr>
      <w:tr w14:paraId="7CCA70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FC8A1C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屏蔽型（Shielding）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9A840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穿透能量＜10nJ</w:t>
            </w:r>
          </w:p>
        </w:tc>
        <w:tc>
          <w:tcPr>
            <w:tcW w:w="5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E1FD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物料外层防护、成品出货，防静电铝箔袋、金属化编织袋</w:t>
            </w:r>
          </w:p>
        </w:tc>
      </w:tr>
    </w:tbl>
    <w:p w14:paraId="26AAEE5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0" w:name="heading_43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8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分级量化标准</w:t>
      </w:r>
      <w:bookmarkEnd w:id="40"/>
    </w:p>
    <w:p w14:paraId="232B3EA8">
      <w:pPr>
        <w:numPr>
          <w:ilvl w:val="0"/>
          <w:numId w:val="90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导电型包装（直接接触元器件）</w:t>
      </w:r>
      <w:r>
        <w:rPr>
          <w:rFonts w:hint="eastAsia" w:ascii="宋体" w:hAnsi="宋体" w:eastAsia="宋体" w:cs="宋体"/>
          <w:sz w:val="22"/>
        </w:rPr>
        <w:t>：表面电阻＜1×10⁵Ω，用于芯片、裸晶、精密IC直接承载防护。</w:t>
      </w:r>
    </w:p>
    <w:p w14:paraId="0BE15739">
      <w:pPr>
        <w:numPr>
          <w:ilvl w:val="0"/>
          <w:numId w:val="91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静电消散型包装（PCB、成品组件）</w:t>
      </w:r>
      <w:r>
        <w:rPr>
          <w:rFonts w:hint="eastAsia" w:ascii="宋体" w:hAnsi="宋体" w:eastAsia="宋体" w:cs="宋体"/>
          <w:sz w:val="22"/>
        </w:rPr>
        <w:t>：表面电阻 1×10⁵Ω ~ 1×10¹¹Ω，适用于组装半成品、成品周转。</w:t>
      </w:r>
    </w:p>
    <w:p w14:paraId="66803D78">
      <w:pPr>
        <w:numPr>
          <w:ilvl w:val="0"/>
          <w:numId w:val="92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屏蔽性能标准</w:t>
      </w:r>
      <w:r>
        <w:rPr>
          <w:rFonts w:hint="eastAsia" w:ascii="宋体" w:hAnsi="宋体" w:eastAsia="宋体" w:cs="宋体"/>
          <w:sz w:val="22"/>
        </w:rPr>
        <w:t>：包装内外电场强度差值＜50V，有效屏蔽外部静电干扰。</w:t>
      </w:r>
    </w:p>
    <w:p w14:paraId="2164EAEA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1" w:name="heading_44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8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审厂红线与高阶避坑指南</w:t>
      </w:r>
      <w:bookmarkEnd w:id="41"/>
    </w:p>
    <w:p w14:paraId="2EB7E83A">
      <w:pPr>
        <w:numPr>
          <w:ilvl w:val="0"/>
          <w:numId w:val="93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IQC来料管控（新增）</w:t>
      </w:r>
      <w:r>
        <w:rPr>
          <w:rFonts w:hint="eastAsia" w:ascii="宋体" w:hAnsi="宋体" w:eastAsia="宋体" w:cs="宋体"/>
          <w:sz w:val="22"/>
        </w:rPr>
        <w:t>：所有防静电包装耗材每批次入库前，必须抽检表面电阻性能，核对</w:t>
      </w:r>
      <w:r>
        <w:rPr>
          <w:rFonts w:hint="eastAsia" w:ascii="宋体" w:hAnsi="宋体" w:eastAsia="宋体" w:cs="宋体"/>
          <w:b/>
          <w:sz w:val="22"/>
        </w:rPr>
        <w:t>MSDS材质报告、第三方检测证书</w:t>
      </w:r>
      <w:r>
        <w:rPr>
          <w:rFonts w:hint="eastAsia" w:ascii="宋体" w:hAnsi="宋体" w:eastAsia="宋体" w:cs="宋体"/>
          <w:sz w:val="22"/>
        </w:rPr>
        <w:t>，无证、参数不合格禁止入库。</w:t>
      </w:r>
    </w:p>
    <w:p w14:paraId="3AC7E0C0">
      <w:pPr>
        <w:numPr>
          <w:ilvl w:val="0"/>
          <w:numId w:val="94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标识强制要求（新增）</w:t>
      </w:r>
      <w:r>
        <w:rPr>
          <w:rFonts w:hint="eastAsia" w:ascii="宋体" w:hAnsi="宋体" w:eastAsia="宋体" w:cs="宋体"/>
          <w:sz w:val="22"/>
        </w:rPr>
        <w:t>：所有防静电周转器具、包装必须印刷标准ESD敏感标识（⚡️+手划斜杠国标符号），无标识物料禁止投入EPA区域使用。</w:t>
      </w:r>
    </w:p>
    <w:p w14:paraId="00A449B2">
      <w:pPr>
        <w:numPr>
          <w:ilvl w:val="0"/>
          <w:numId w:val="95"/>
        </w:numPr>
        <w:spacing w:before="120" w:after="120" w:line="240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原有红线保留</w:t>
      </w:r>
      <w:r>
        <w:rPr>
          <w:rFonts w:hint="eastAsia" w:ascii="宋体" w:hAnsi="宋体" w:eastAsia="宋体" w:cs="宋体"/>
          <w:sz w:val="22"/>
        </w:rPr>
        <w:t>：严禁非EPA区域普通包装存放敏感器件、防静电与普通耗材混放混用。</w:t>
      </w:r>
    </w:p>
    <w:p w14:paraId="1345065F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</w:rPr>
      </w:pPr>
      <w:bookmarkStart w:id="42" w:name="heading_45"/>
      <w:r>
        <w:rPr>
          <w:rFonts w:hint="eastAsia" w:ascii="宋体" w:hAnsi="宋体" w:eastAsia="宋体" w:cs="宋体"/>
          <w:b/>
          <w:sz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sz w:val="36"/>
        </w:rPr>
        <w:t>、检测仪器与校准追溯管理</w:t>
      </w:r>
      <w:r>
        <w:rPr>
          <w:rFonts w:hint="eastAsia" w:ascii="宋体" w:hAnsi="宋体" w:eastAsia="宋体" w:cs="宋体"/>
          <w:b/>
          <w:sz w:val="24"/>
          <w:szCs w:val="24"/>
        </w:rPr>
        <w:t>（Test Equipment）</w:t>
      </w:r>
      <w:bookmarkEnd w:id="42"/>
    </w:p>
    <w:p w14:paraId="452A431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：未校准的仪器无检测资格，未验证的数据无合规效力，所有检测设备必须实现校准可溯源、点检可验证、数据可复盘。</w:t>
      </w:r>
    </w:p>
    <w:p w14:paraId="7E0CB02C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3" w:name="heading_46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9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核心审核要点</w:t>
      </w:r>
      <w:bookmarkEnd w:id="43"/>
    </w:p>
    <w:p w14:paraId="5331B63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所有ESD检测设备需保持精准、有效、可溯源，检测数据真实可靠，杜绝仪器失效、数据无效、追溯断裂问题。</w:t>
      </w:r>
    </w:p>
    <w:p w14:paraId="46073DB5">
      <w:pPr>
        <w:numPr>
          <w:ilvl w:val="0"/>
          <w:numId w:val="9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表面电阻测试仪、人体综合测试仪、离子平衡测试仪、接地电阻测试仪等是否全部在校准有效期内？</w:t>
      </w:r>
    </w:p>
    <w:p w14:paraId="4163C322">
      <w:pPr>
        <w:numPr>
          <w:ilvl w:val="0"/>
          <w:numId w:val="9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仪器校准证书是否由具备CNAS资质的第三方实验室出具，可溯源、合规有效？</w:t>
      </w:r>
    </w:p>
    <w:p w14:paraId="1A20C33A">
      <w:pPr>
        <w:numPr>
          <w:ilvl w:val="0"/>
          <w:numId w:val="9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日常点检是否使用标准校验板、标准电阻块进行比对验证，有无完整点检记录？</w:t>
      </w:r>
    </w:p>
    <w:p w14:paraId="0EB4E0C0">
      <w:pPr>
        <w:numPr>
          <w:ilvl w:val="0"/>
          <w:numId w:val="9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仪器损坏、超期、失准是否及时停用、标识、送检、更换？</w:t>
      </w:r>
    </w:p>
    <w:p w14:paraId="7835A2EA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4" w:name="heading_47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9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.2 各仪器专项校准规范</w:t>
      </w:r>
      <w:bookmarkEnd w:id="44"/>
    </w:p>
    <w:p w14:paraId="5276132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default" w:ascii="宋体" w:hAnsi="宋体" w:eastAsia="宋体" w:cs="宋体"/>
          <w:color w:val="FF0000"/>
          <w:sz w:val="2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2"/>
          <w:lang w:val="en-US" w:eastAsia="zh-CN"/>
        </w:rPr>
        <w:t xml:space="preserve">        见下页</w:t>
      </w:r>
    </w:p>
    <w:p w14:paraId="1E0D176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5795091A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45CD0A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3F6A3EC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0DB8C5C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3618729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3A8B4064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065F377E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2F1D87F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2CCB2D7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39254990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542719C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31E8FE96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71768BC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639502D1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24C4CE63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1387E98D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607E411B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66D1C1D1">
      <w:pPr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ESD检测设备台账清单</w:t>
      </w:r>
    </w:p>
    <w:p w14:paraId="33DC43D3">
      <w:pPr>
        <w:keepNext w:val="0"/>
        <w:keepLines w:val="0"/>
        <w:widowControl/>
        <w:suppressLineNumbers w:val="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适配标准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：ANSI/ESD S20.20-2021、IEC 61340-5-1:2024、IATF16949</w:t>
      </w:r>
    </w:p>
    <w:p w14:paraId="3B4D2734">
      <w:pPr>
        <w:keepNext w:val="0"/>
        <w:keepLines w:val="0"/>
        <w:widowControl/>
        <w:suppressLineNumbers w:val="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适用范围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：车间日常点检、内审、客户审厂、设备校准追溯、品质异常分析</w:t>
      </w:r>
    </w:p>
    <w:p w14:paraId="6F52F6DB">
      <w:pPr>
        <w:keepNext w:val="0"/>
        <w:keepLines w:val="0"/>
        <w:widowControl/>
        <w:suppressLineNumbers w:val="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管控要求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：所有检测设备执行「年度CNAS外校＋每日/季度内校」，记录完整可追溯、证书在有效期内。</w:t>
      </w:r>
    </w:p>
    <w:tbl>
      <w:tblPr>
        <w:tblStyle w:val="6"/>
        <w:tblW w:w="105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3"/>
        <w:gridCol w:w="1748"/>
        <w:gridCol w:w="2351"/>
        <w:gridCol w:w="1945"/>
        <w:gridCol w:w="1647"/>
        <w:gridCol w:w="2132"/>
      </w:tblGrid>
      <w:tr w14:paraId="5905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  <w:tblHeader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4F44B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序号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82823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设备名称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357C5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测试对象/用途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0C97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核心合规参数标准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C3F99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校准/点检周期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058E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审厂关键要求</w:t>
            </w:r>
          </w:p>
        </w:tc>
      </w:tr>
      <w:tr w14:paraId="037F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EE82A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62248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人体综合静电测试仪（手环+鞋体一体）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EAE1F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检测作业人员人体综合对地电阻，管控手环、防静电鞋合规性，上岗前必测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8E468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合格区间：7.5×10⁵Ω ~ 1.0×10⁹Ω，超标声光报警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1CD99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年度CNAS外校；每日开机内校+标准电阻比对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0C9DB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全员每日上岗、午休复工双次测试，记录真实可追溯，无代测、补录</w:t>
            </w:r>
          </w:p>
        </w:tc>
      </w:tr>
      <w:tr w14:paraId="07E87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F06F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F0395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手腕带在线监控仪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14D64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核心工位有线手环实时监测，识别断线、虚接、接触不良，24h监控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C0E95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异常即时声光报警，无监测盲区，保障泄放回路持续有效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2F14F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年度整机校准；每季度功能精度校验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1E3E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SMT/精密组装核心工位必配，杜绝手环佩戴不规范引发隐性静电损伤</w:t>
            </w:r>
          </w:p>
        </w:tc>
      </w:tr>
      <w:tr w14:paraId="546B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6EAE2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2501D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便携式表面电阻测试仪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A288D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检测防静电台垫、地板、服装、鞋、周转箱、吸塑盘、防静电袋等全系ESD耗材及工装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3BB6D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量程10³~10¹²Ω，可区分导电/耗散/屏蔽型物料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A3210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年度CNAS外校；每日开机使用标准电阻盒内校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F086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IQC来料抽检、月度巡检、老化耗材报废判定唯一依据，必须有数据记录</w:t>
            </w:r>
          </w:p>
        </w:tc>
      </w:tr>
      <w:tr w14:paraId="3186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0538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B155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标准高阻校准块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748F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配套电阻类检测设备日常内校，修正仪器精度漂移，保障测试数据有效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F31A8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标配10⁶Ω、10⁹Ω、10¹²Ω标准阻值，精度合规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B559B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随设备日常使用校验，年度随同整机校准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1C80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证明企业具备自主校验能力，规避“只有外校、无日常验证”扣分点</w:t>
            </w:r>
          </w:p>
        </w:tc>
      </w:tr>
      <w:tr w14:paraId="6B62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6C249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2763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四线制接地电阻测试仪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DE0E0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检测厂区总接地、工位接地、设备接地、汇流排全点位接地电阻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FAF25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常规制程＜10Ω；车载/半导体/医疗高端制程＜4Ω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FC5B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年度CNAS外校；月度全厂点位巡检复测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8198C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必须四线制测试，杜绝引线误差，建立全厂接地点位台账与复测记录</w:t>
            </w:r>
          </w:p>
        </w:tc>
      </w:tr>
      <w:tr w14:paraId="3277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D18D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DCEA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离子风机性能测试仪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/充电平板测试仪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（平衡度/衰减时间）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6C4F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检测离子风机、风棒、风枪的静电中和性能，验证设备有效性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4B8CD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离子平衡度：通用≤±50V/高端≤±35V；衰减时间：30/60cm距离下≤10s（±1000V→100V）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3DED6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年度外校；每季度校准，保养/维修后必测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AC64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必须留存带时间戳测试图表，禁止仅勾选合格，离子失衡为重大质量风险</w:t>
            </w:r>
          </w:p>
        </w:tc>
      </w:tr>
      <w:tr w14:paraId="054CD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FD667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E7114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非接触式静电场测试仪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C1103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检测工位绝缘电场、设备外壳静电、EPA环境场强、包装屏蔽性能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471AB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工位场强＜200V/inch；包装内部感应电压＜50V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1A7B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年度精度校准；异常工况随时抽检校验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5F65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高端车载/医疗审厂必查，用于排查隐形静电源、验证屏蔽与中和效果</w:t>
            </w:r>
          </w:p>
        </w:tc>
      </w:tr>
      <w:tr w14:paraId="73E8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2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0F937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052B1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工业级温湿度记录仪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E4F5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EPA区域环境温湿度实时监控、记录，管控静电积聚环境条件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859B0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标准环境：温度25±5℃，湿度40%~60%RH（最佳45%±5%RH）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E827C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年度校准；每4小时记录一次，干燥季节加密巡检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9BF7C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固定放置核心区域、避开风口热源，湿度偏低需开启加湿/离子补偿并留档</w:t>
            </w:r>
          </w:p>
        </w:tc>
      </w:tr>
      <w:tr w14:paraId="38D2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C2C3D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DCE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接触式静电电压测试仪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04F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人体静电电压、物体表面电压测试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F8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直流或交流峰值电压±(1~2000)V，符合相关测试标准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574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年度CNAS外校，日常使用前零点校准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A11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校准报告在有效期内，日常零点校准记录完整</w:t>
            </w:r>
          </w:p>
        </w:tc>
      </w:tr>
      <w:tr w14:paraId="556B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3FB0A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18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数字万用表</w:t>
            </w: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84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测量电阻、电流、电压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D1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100元以上万用表，都可满足要求，精度符合相关测试标准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AD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年度CNAS外校，日常使用前功能检查</w:t>
            </w: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32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校准报告在有效期内，功能正常，测试记录完整</w:t>
            </w:r>
          </w:p>
        </w:tc>
      </w:tr>
    </w:tbl>
    <w:p w14:paraId="74ED0A0E">
      <w:pPr>
        <w:pStyle w:val="2"/>
        <w:keepNext w:val="0"/>
        <w:keepLines w:val="0"/>
        <w:widowControl/>
        <w:suppressLineNumbers w:val="0"/>
        <w:jc w:val="left"/>
      </w:pPr>
    </w:p>
    <w:p w14:paraId="3F7BED0E">
      <w:pPr>
        <w:pStyle w:val="2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jc w:val="left"/>
      </w:pPr>
      <w:r>
        <w:t>ESD防护硬件配置台账（非检测类、审厂必查）</w:t>
      </w:r>
    </w:p>
    <w:tbl>
      <w:tblPr>
        <w:tblStyle w:val="6"/>
        <w:tblW w:w="105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9"/>
        <w:gridCol w:w="2860"/>
        <w:gridCol w:w="3897"/>
        <w:gridCol w:w="3031"/>
      </w:tblGrid>
      <w:tr w14:paraId="101FC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  <w:tblHeader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E62A7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序号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FC4F1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硬件名称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12FE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配置要求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4B69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管控要点</w:t>
            </w:r>
          </w:p>
        </w:tc>
      </w:tr>
      <w:tr w14:paraId="657AA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8E023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8AAD1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有线防静电手环（带1MΩ限流电阻）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2D583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固定工位全员标配，禁止无线手环常规替代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90AC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定期测电阻、杜绝老化断线，必须贴肤佩戴</w:t>
            </w:r>
          </w:p>
        </w:tc>
      </w:tr>
      <w:tr w14:paraId="7BB73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13EF5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BE41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防静电服/防静电鞋/脚跟带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46AF2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所有EPA入场人员100%配齐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C2D43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统计洗涤次数、定期电阻抽检，老化失效强制报废</w:t>
            </w:r>
          </w:p>
        </w:tc>
      </w:tr>
      <w:tr w14:paraId="1D1A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B9C46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C0844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防静电台垫+接地汇流排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FA04A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EPA工位全覆盖，独立星型接地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61D6D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禁止串接接地，定期检测对地/点对点电阻</w:t>
            </w:r>
          </w:p>
        </w:tc>
      </w:tr>
      <w:tr w14:paraId="6D7B5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58587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20BA8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离子风机/离子风棒/离子风枪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F755D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绝缘物料作业、高频静电工位必配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9C6B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每周清洁、季度校准，杜绝离子失衡反向带电</w:t>
            </w:r>
          </w:p>
        </w:tc>
      </w:tr>
      <w:tr w14:paraId="351C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812A2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5429A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防静电屏蔽袋/导电周转箱/吸塑盘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2757F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敏感器件全流程周转、包装使用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7A31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IQC抽检性能，严禁普通包装混用</w:t>
            </w:r>
          </w:p>
        </w:tc>
      </w:tr>
      <w:tr w14:paraId="637D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CFA4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3A85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人体静电释放球</w:t>
            </w:r>
          </w:p>
        </w:tc>
        <w:tc>
          <w:tcPr>
            <w:tcW w:w="3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A15D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EPA入口前置配置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AA40E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人员进场前预释放人体静电，日常点检完好</w:t>
            </w:r>
          </w:p>
        </w:tc>
      </w:tr>
    </w:tbl>
    <w:p w14:paraId="0727BC55">
      <w:pPr>
        <w:pStyle w:val="2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jc w:val="left"/>
      </w:pPr>
      <w:r>
        <w:t>设备分级配置标准（按需选型）</w:t>
      </w:r>
    </w:p>
    <w:p w14:paraId="64594AC6">
      <w:pPr>
        <w:keepNext w:val="0"/>
        <w:keepLines w:val="0"/>
        <w:widowControl/>
        <w:suppressLineNumbers w:val="0"/>
        <w:ind w:left="72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基础版（通用组装厂）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：人体综合测试仪、表面电阻测试仪、接地电阻测试仪、温湿度记录仪、基础离子风机</w:t>
      </w:r>
    </w:p>
    <w:p w14:paraId="702E89F6">
      <w:pPr>
        <w:keepNext w:val="0"/>
        <w:keepLines w:val="0"/>
        <w:widowControl/>
        <w:suppressLineNumbers w:val="0"/>
        <w:ind w:left="72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标准版（SMT/精密电子）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：基础版全套 + 离子性能测试仪、标准校准电阻块、手环在线监控仪</w:t>
      </w:r>
    </w:p>
    <w:p w14:paraId="585C2F90">
      <w:pPr>
        <w:keepNext w:val="0"/>
        <w:keepLines w:val="0"/>
        <w:widowControl/>
        <w:suppressLineNumbers w:val="0"/>
        <w:ind w:left="72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高阶版（车载/医疗/半导体/军工）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：标准版全套 + 静电场测试仪、高精度静电电压表、智能静电监控预警设备</w:t>
      </w:r>
    </w:p>
    <w:p w14:paraId="071A42CE">
      <w:pPr>
        <w:pStyle w:val="2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jc w:val="left"/>
      </w:pPr>
      <w:r>
        <w:t>通用合规红线（审厂一票否决项）</w:t>
      </w:r>
    </w:p>
    <w:p w14:paraId="3666EC02">
      <w:pPr>
        <w:keepNext w:val="0"/>
        <w:keepLines w:val="0"/>
        <w:widowControl/>
        <w:suppressLineNumbers w:val="0"/>
        <w:ind w:left="72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所有检测仪器必须</w:t>
      </w: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CNAS年度外校+日常内校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，证书在有效期、可溯源；严禁超期、失准设备使用。</w:t>
      </w:r>
    </w:p>
    <w:p w14:paraId="4FE10EC6">
      <w:pPr>
        <w:keepNext w:val="0"/>
        <w:keepLines w:val="0"/>
        <w:widowControl/>
        <w:suppressLineNumbers w:val="0"/>
        <w:ind w:left="72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所有测试、校准、维护必须留存</w:t>
      </w: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原始数据/图表记录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，禁止空勾选、无数据存档。</w:t>
      </w:r>
    </w:p>
    <w:p w14:paraId="51D4BC03">
      <w:pPr>
        <w:keepNext w:val="0"/>
        <w:keepLines w:val="0"/>
        <w:widowControl/>
        <w:suppressLineNumbers w:val="0"/>
        <w:ind w:left="72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仪器损坏、失准立即停用、标识、送检，严禁带病检测。</w:t>
      </w:r>
    </w:p>
    <w:p w14:paraId="547363D2">
      <w:pPr>
        <w:pStyle w:val="2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jc w:val="left"/>
      </w:pPr>
      <w:r>
        <w:t>记录保存周期标准</w:t>
      </w:r>
    </w:p>
    <w:p w14:paraId="4F691E50">
      <w:pPr>
        <w:keepNext w:val="0"/>
        <w:keepLines w:val="0"/>
        <w:widowControl/>
        <w:suppressLineNumbers w:val="0"/>
        <w:ind w:left="72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通用行业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：校准、点检、测试、维护记录留存≥2年</w:t>
      </w:r>
    </w:p>
    <w:p w14:paraId="128A873C">
      <w:pPr>
        <w:keepNext w:val="0"/>
        <w:keepLines w:val="0"/>
        <w:widowControl/>
        <w:suppressLineNumbers w:val="0"/>
        <w:ind w:left="720"/>
        <w:jc w:val="left"/>
      </w:pP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车载/医疗/军工（IATF16949）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：记录≥3年或</w:t>
      </w:r>
      <w:r>
        <w:rPr>
          <w:rStyle w:val="8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产品全生命周期+1年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，取最大值</w:t>
      </w:r>
    </w:p>
    <w:p w14:paraId="1987EC4F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FF0000"/>
          <w:sz w:val="22"/>
        </w:rPr>
      </w:pPr>
    </w:p>
    <w:p w14:paraId="7D78E0A3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5" w:name="heading_48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9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.3 量化管控标准</w:t>
      </w:r>
      <w:bookmarkEnd w:id="45"/>
    </w:p>
    <w:p w14:paraId="29BFB936">
      <w:pPr>
        <w:numPr>
          <w:ilvl w:val="0"/>
          <w:numId w:val="10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测试环境要求</w:t>
      </w:r>
      <w:r>
        <w:rPr>
          <w:rFonts w:hint="eastAsia" w:ascii="宋体" w:hAnsi="宋体" w:eastAsia="宋体" w:cs="宋体"/>
          <w:sz w:val="22"/>
        </w:rPr>
        <w:t>：所有ESD测试必须在标准受控环境开展，环境温度25±5℃，相对湿度45%±5%，温湿度记录实时留存。</w:t>
      </w:r>
    </w:p>
    <w:p w14:paraId="1D75A151">
      <w:pPr>
        <w:numPr>
          <w:ilvl w:val="0"/>
          <w:numId w:val="10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仪器合规率</w:t>
      </w:r>
      <w:r>
        <w:rPr>
          <w:rFonts w:hint="eastAsia" w:ascii="宋体" w:hAnsi="宋体" w:eastAsia="宋体" w:cs="宋体"/>
          <w:sz w:val="22"/>
        </w:rPr>
        <w:t>：仪器未点检、未校准、失准缺失率≤2%，实现100%有效管控。</w:t>
      </w:r>
    </w:p>
    <w:p w14:paraId="1BB7EC27">
      <w:pPr>
        <w:numPr>
          <w:ilvl w:val="0"/>
          <w:numId w:val="10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校准周期</w:t>
      </w:r>
      <w:r>
        <w:rPr>
          <w:rFonts w:hint="eastAsia" w:ascii="宋体" w:hAnsi="宋体" w:eastAsia="宋体" w:cs="宋体"/>
          <w:sz w:val="22"/>
        </w:rPr>
        <w:t>：所有检测仪器年度外校，每日开机内校点检，记录完整闭环。</w:t>
      </w:r>
    </w:p>
    <w:p w14:paraId="5F41B67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6" w:name="heading_49"/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9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.4 审厂避坑核心</w:t>
      </w:r>
      <w:bookmarkEnd w:id="46"/>
    </w:p>
    <w:p w14:paraId="25A270E3">
      <w:pPr>
        <w:numPr>
          <w:ilvl w:val="0"/>
          <w:numId w:val="10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环境湿度管控标准</w:t>
      </w:r>
      <w:r>
        <w:rPr>
          <w:rFonts w:hint="eastAsia" w:ascii="宋体" w:hAnsi="宋体" w:eastAsia="宋体" w:cs="宋体"/>
          <w:sz w:val="22"/>
        </w:rPr>
        <w:t>：</w:t>
      </w:r>
      <w:r>
        <w:rPr>
          <w:rFonts w:ascii="宋体" w:hAnsi="宋体" w:eastAsia="宋体" w:cs="宋体"/>
          <w:sz w:val="24"/>
          <w:szCs w:val="24"/>
        </w:rPr>
        <w:t>EPA 管控湿度：40%～60% RH（最佳 45%±5%）</w:t>
      </w:r>
      <w:r>
        <w:rPr>
          <w:rFonts w:hint="eastAsia" w:ascii="宋体" w:hAnsi="宋体" w:eastAsia="宋体" w:cs="宋体"/>
          <w:sz w:val="22"/>
        </w:rPr>
        <w:t>；湿度＜30%极易引发绝缘体电荷积聚，静电风险激增；湿度＞70%易导致金属器件氧化、电路板受潮不良。</w:t>
      </w:r>
    </w:p>
    <w:p w14:paraId="3F79C05B">
      <w:pPr>
        <w:numPr>
          <w:ilvl w:val="0"/>
          <w:numId w:val="105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原有核心问题保留</w:t>
      </w:r>
      <w:r>
        <w:rPr>
          <w:rFonts w:hint="eastAsia" w:ascii="宋体" w:hAnsi="宋体" w:eastAsia="宋体" w:cs="宋体"/>
          <w:sz w:val="22"/>
        </w:rPr>
        <w:t>：仅外校无内校、数据造假缺失、仪器超期使用均为严重体系不合格项。</w:t>
      </w:r>
    </w:p>
    <w:p w14:paraId="63A3F0FC">
      <w:pPr>
        <w:widowControl w:val="0"/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2"/>
        </w:rPr>
      </w:pPr>
    </w:p>
    <w:p w14:paraId="484D9776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sz w:val="24"/>
          <w:szCs w:val="24"/>
        </w:rPr>
      </w:pPr>
      <w:bookmarkStart w:id="47" w:name="heading_50"/>
      <w:r>
        <w:rPr>
          <w:rFonts w:hint="eastAsia" w:ascii="宋体" w:hAnsi="宋体" w:eastAsia="宋体" w:cs="宋体"/>
          <w:b/>
          <w:sz w:val="36"/>
          <w:lang w:val="en-US" w:eastAsia="zh-CN"/>
        </w:rPr>
        <w:t>十</w:t>
      </w:r>
      <w:r>
        <w:rPr>
          <w:rFonts w:hint="eastAsia" w:ascii="宋体" w:hAnsi="宋体" w:eastAsia="宋体" w:cs="宋体"/>
          <w:b/>
          <w:sz w:val="36"/>
        </w:rPr>
        <w:t>、全员培训与全流程记录追溯管理</w:t>
      </w:r>
      <w:r>
        <w:rPr>
          <w:rFonts w:hint="eastAsia" w:ascii="宋体" w:hAnsi="宋体" w:eastAsia="宋体" w:cs="宋体"/>
          <w:b/>
          <w:sz w:val="24"/>
          <w:szCs w:val="24"/>
        </w:rPr>
        <w:t>（Training &amp; Records）</w:t>
      </w:r>
      <w:bookmarkEnd w:id="47"/>
    </w:p>
    <w:p w14:paraId="767767A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核心逻辑</w:t>
      </w:r>
      <w:r>
        <w:rPr>
          <w:rFonts w:hint="eastAsia" w:ascii="宋体" w:hAnsi="宋体" w:eastAsia="宋体" w:cs="宋体"/>
          <w:sz w:val="22"/>
        </w:rPr>
        <w:t>：体系合规的最终证据链闭环，培训重实效、记录重真实、追溯重全程，实现“人、机、料、法、环、测”全维度可追溯。</w:t>
      </w:r>
    </w:p>
    <w:p w14:paraId="2107FC6D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8" w:name="heading_51"/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10.1 核心审核要点</w:t>
      </w:r>
      <w:bookmarkEnd w:id="48"/>
    </w:p>
    <w:p w14:paraId="23597D9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ESD管控落地核心在于人员意识与全程追溯，培训全覆盖、记录全留存、问题可溯源，实现体系长效运行。</w:t>
      </w:r>
    </w:p>
    <w:p w14:paraId="67DFFD4B">
      <w:pPr>
        <w:numPr>
          <w:ilvl w:val="0"/>
          <w:numId w:val="106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是否制定年度ESD专项培训计划，分层级开展新员工、老员工、管理人员、维修人员专项培训？</w:t>
      </w:r>
    </w:p>
    <w:p w14:paraId="6613101F">
      <w:pPr>
        <w:numPr>
          <w:ilvl w:val="0"/>
          <w:numId w:val="107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新员工入职是否100%完成ESD岗前培训、考核合格后方可上岗？</w:t>
      </w:r>
    </w:p>
    <w:p w14:paraId="54B02045">
      <w:pPr>
        <w:numPr>
          <w:ilvl w:val="0"/>
          <w:numId w:val="108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所有ESD测试、点检、培训、整改、维修、校准记录是否完整归档、可长期追溯？</w:t>
      </w:r>
    </w:p>
    <w:p w14:paraId="14EE962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49" w:name="heading_52"/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10.2 高阶培训与追溯规范</w:t>
      </w:r>
      <w:bookmarkEnd w:id="49"/>
    </w:p>
    <w:p w14:paraId="17D0AC2F">
      <w:pPr>
        <w:numPr>
          <w:ilvl w:val="0"/>
          <w:numId w:val="109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培训有效性管控</w:t>
      </w:r>
      <w:r>
        <w:rPr>
          <w:rFonts w:hint="eastAsia" w:ascii="宋体" w:hAnsi="宋体" w:eastAsia="宋体" w:cs="宋体"/>
          <w:sz w:val="22"/>
        </w:rPr>
        <w:t>：杜绝单一签到形式培训，所有培训后必须开展笔试+实操双重考核，考核合格方可认定培训有效，成绩纳入员工岗位考核档案。</w:t>
      </w:r>
    </w:p>
    <w:p w14:paraId="289CB242">
      <w:pPr>
        <w:numPr>
          <w:ilvl w:val="0"/>
          <w:numId w:val="110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记录保存周期升级</w:t>
      </w:r>
      <w:r>
        <w:rPr>
          <w:rFonts w:hint="eastAsia" w:ascii="宋体" w:hAnsi="宋体" w:eastAsia="宋体" w:cs="宋体"/>
          <w:sz w:val="22"/>
        </w:rPr>
        <w:t>：常规记录最低保存2年，车载、军工、医疗、高端客户产品相关记录</w:t>
      </w:r>
      <w:r>
        <w:rPr>
          <w:rFonts w:hint="eastAsia" w:ascii="宋体" w:hAnsi="宋体" w:eastAsia="宋体" w:cs="宋体"/>
          <w:b/>
          <w:sz w:val="22"/>
        </w:rPr>
        <w:t>保存周期≥3年</w:t>
      </w:r>
      <w:r>
        <w:rPr>
          <w:rFonts w:hint="eastAsia" w:ascii="宋体" w:hAnsi="宋体" w:eastAsia="宋体" w:cs="宋体"/>
          <w:sz w:val="22"/>
        </w:rPr>
        <w:t>，或覆盖产品全生命周期。</w:t>
      </w:r>
    </w:p>
    <w:p w14:paraId="16F1E184">
      <w:pPr>
        <w:numPr>
          <w:ilvl w:val="0"/>
          <w:numId w:val="111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全链条追溯要求</w:t>
      </w:r>
      <w:r>
        <w:rPr>
          <w:rFonts w:hint="eastAsia" w:ascii="宋体" w:hAnsi="宋体" w:eastAsia="宋体" w:cs="宋体"/>
          <w:sz w:val="22"/>
        </w:rPr>
        <w:t>：审核员可随机抽取成品SN码，反向追溯对应生产工位、当班员工、当日ESD测试记录、设备点检数据，实现全链路一一对应。</w:t>
      </w:r>
    </w:p>
    <w:p w14:paraId="72DB2ADF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50" w:name="heading_53"/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10.3 量化标准与管控要求</w:t>
      </w:r>
      <w:bookmarkEnd w:id="50"/>
    </w:p>
    <w:p w14:paraId="248FB46B">
      <w:pPr>
        <w:numPr>
          <w:ilvl w:val="0"/>
          <w:numId w:val="112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记录保存周期</w:t>
      </w:r>
      <w:r>
        <w:rPr>
          <w:rFonts w:hint="eastAsia" w:ascii="宋体" w:hAnsi="宋体" w:eastAsia="宋体" w:cs="宋体"/>
          <w:sz w:val="22"/>
        </w:rPr>
        <w:t>：所有ESD相关记录最低保存2年，高端客户（车载、军工、医疗）要求保存3年以上。</w:t>
      </w:r>
    </w:p>
    <w:p w14:paraId="522B484E">
      <w:pPr>
        <w:numPr>
          <w:ilvl w:val="0"/>
          <w:numId w:val="113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人员管控重点</w:t>
      </w:r>
      <w:r>
        <w:rPr>
          <w:rFonts w:hint="eastAsia" w:ascii="宋体" w:hAnsi="宋体" w:eastAsia="宋体" w:cs="宋体"/>
          <w:sz w:val="22"/>
        </w:rPr>
        <w:t>：新员工入职前3个月为ESD违规高风险期，需重点巡检、专项复盘、强化培训。</w:t>
      </w:r>
    </w:p>
    <w:p w14:paraId="797E82F9">
      <w:pPr>
        <w:numPr>
          <w:ilvl w:val="0"/>
          <w:numId w:val="114"/>
        </w:num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培训分层</w:t>
      </w:r>
      <w:r>
        <w:rPr>
          <w:rFonts w:hint="eastAsia" w:ascii="宋体" w:hAnsi="宋体" w:eastAsia="宋体" w:cs="宋体"/>
          <w:sz w:val="22"/>
        </w:rPr>
        <w:t>：一线员工侧重实操规范，管理人员侧重体系管理、异常整改，ESD专员侧重标准解读、体系维护。</w:t>
      </w:r>
    </w:p>
    <w:p w14:paraId="5C799BF8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51" w:name="heading_54"/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10.4 审厂稽核方式</w:t>
      </w:r>
      <w:bookmarkEnd w:id="51"/>
    </w:p>
    <w:p w14:paraId="4847099D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审核员随机抽取在岗员工，核查个人培训档案、当日测试记录、过往违规记录，实现“人、岗、记录、培训”一一对应，无法对应直接判定不合格。</w:t>
      </w:r>
    </w:p>
    <w:p w14:paraId="26B58F6C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2"/>
        </w:rPr>
      </w:pPr>
    </w:p>
    <w:p w14:paraId="70BE4E48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</w:rPr>
      </w:pPr>
      <w:bookmarkStart w:id="52" w:name="heading_55"/>
      <w:r>
        <w:rPr>
          <w:rFonts w:hint="eastAsia" w:ascii="宋体" w:hAnsi="宋体" w:eastAsia="宋体" w:cs="宋体"/>
          <w:b/>
          <w:sz w:val="36"/>
        </w:rPr>
        <w:t>十</w:t>
      </w:r>
      <w:r>
        <w:rPr>
          <w:rFonts w:hint="eastAsia" w:ascii="宋体" w:hAnsi="宋体" w:eastAsia="宋体" w:cs="宋体"/>
          <w:b/>
          <w:sz w:val="36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6"/>
        </w:rPr>
        <w:t>、ESD审厂TOP严重不合格项速查表</w:t>
      </w:r>
      <w:r>
        <w:rPr>
          <w:rFonts w:hint="eastAsia" w:ascii="宋体" w:hAnsi="宋体" w:eastAsia="宋体" w:cs="宋体"/>
          <w:b/>
          <w:sz w:val="24"/>
          <w:szCs w:val="24"/>
        </w:rPr>
        <w:t>（Red Flags）</w:t>
      </w:r>
      <w:bookmarkEnd w:id="52"/>
    </w:p>
    <w:p w14:paraId="4C93E447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本章节整合所有高频、致命、严重不合格项，分级定义、根因剖析、标准整改方案，实现问题精准定位、闭环管控，适配高端客户审厂评级标准。</w:t>
      </w:r>
    </w:p>
    <w:p w14:paraId="6F67807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bookmarkStart w:id="53" w:name="heading_56"/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.1 致命不合格项（Critical，直接影响审厂通过）</w:t>
      </w:r>
      <w:bookmarkEnd w:id="53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60"/>
        <w:gridCol w:w="2399"/>
        <w:gridCol w:w="2434"/>
        <w:gridCol w:w="3459"/>
      </w:tblGrid>
      <w:tr w14:paraId="28125E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7" w:hRule="atLeast"/>
        </w:trPr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E3323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风险等级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53BA2E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问题描述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B9E456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根因分析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5DE3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标准整改建议</w:t>
            </w:r>
          </w:p>
        </w:tc>
      </w:tr>
      <w:tr w14:paraId="102264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A03FD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Critical（致命）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24649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EPA区域内出现普通气泡膜、透明胶带、普通泡沫、塑料绝缘物料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579C7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来料包装管控缺失、现场巡检不到位、员工静电风险认知不足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9ACE1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立即全域清理绝缘体；建立EPA绝缘体禁入红牌机制；全员专项培训；工位定点管控巡检</w:t>
            </w:r>
          </w:p>
        </w:tc>
      </w:tr>
      <w:tr w14:paraId="04C11F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BC3DD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Critical（致命）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3FA5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员工佩戴无线手环、手环佩戴在衣袖外侧、未贴肤佩戴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F930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未理解静电泄放回路原理、现场监管松弛、实操规范未落地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DE28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立即停工整改、全员实操培训考核；现场张贴佩戴标准图示；班组长逐岗点检纠偏</w:t>
            </w:r>
          </w:p>
        </w:tc>
      </w:tr>
      <w:tr w14:paraId="347DC8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B0807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Critical（致命）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7B7F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关键设备接地失效、地线串接、接地电阻严重超标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8D40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接地布线不规范、日常点检缺失、无定期电阻复测机制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55271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重新整改星型接地拓扑；复测全点位接地电阻；建立月度接地检测台账</w:t>
            </w:r>
          </w:p>
        </w:tc>
      </w:tr>
      <w:tr w14:paraId="0F32D8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EBEF14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Critical（致命）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44A8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离子设备参数超标、长期未校准清洁、反向产生静电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93CF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预防性维护PM体系缺失、无定期校准保养计划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2C7B56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立即停机保养校准；更换老化配件；建立周度清洁、季度校准固化机制</w:t>
            </w:r>
          </w:p>
        </w:tc>
      </w:tr>
    </w:tbl>
    <w:p w14:paraId="7EE96EC4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  <w:bookmarkStart w:id="54" w:name="heading_57"/>
    </w:p>
    <w:p w14:paraId="0AB710D5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</w:p>
    <w:p w14:paraId="25E45C95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</w:p>
    <w:p w14:paraId="04880C93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</w:p>
    <w:p w14:paraId="586DD66E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</w:p>
    <w:p w14:paraId="2D46E4AE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2"/>
        </w:rPr>
      </w:pPr>
    </w:p>
    <w:p w14:paraId="06A0F30A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32"/>
        </w:rPr>
        <w:t>1</w:t>
      </w:r>
      <w:r>
        <w:rPr>
          <w:rFonts w:hint="eastAsia" w:ascii="宋体" w:hAnsi="宋体" w:eastAsia="宋体" w:cs="宋体"/>
          <w:b/>
          <w:sz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2"/>
        </w:rPr>
        <w:t>.2 严重/一般不合格项</w:t>
      </w:r>
      <w:r>
        <w:rPr>
          <w:rFonts w:hint="eastAsia" w:ascii="宋体" w:hAnsi="宋体" w:eastAsia="宋体" w:cs="宋体"/>
          <w:b/>
          <w:sz w:val="24"/>
          <w:szCs w:val="24"/>
        </w:rPr>
        <w:t>（Major/Minor）</w:t>
      </w:r>
      <w:bookmarkEnd w:id="54"/>
    </w:p>
    <w:tbl>
      <w:tblPr>
        <w:tblStyle w:val="6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90"/>
        <w:gridCol w:w="409"/>
        <w:gridCol w:w="2712"/>
        <w:gridCol w:w="2856"/>
        <w:gridCol w:w="2628"/>
      </w:tblGrid>
      <w:tr w14:paraId="689ABD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BEDF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风险等级</w:t>
            </w: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F430A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问题描述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A0243F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根因分析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7292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标准整改建议</w:t>
            </w:r>
          </w:p>
        </w:tc>
      </w:tr>
      <w:tr w14:paraId="03297E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D62251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Major（严重）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1049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离子风机滤网发黑、积灰严重，性能衰减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38F47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设备预防性维护（PM）体系缺失，无固定保养工单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44E0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建立设备PM工单系统，强制定期清洁、更换滤网、校准参数</w:t>
            </w:r>
          </w:p>
        </w:tc>
      </w:tr>
      <w:tr w14:paraId="5FA3396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712C83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Major（严重）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A936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防静电服/鞋超期洗涤、电阻失效未更换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87CB2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耗材寿命管控缺失，无洗涤次数统计与抽检机制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D1DF2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建立耗材台账，统计洗涤次数，超期强制报废，定期电阻抽检</w:t>
            </w:r>
          </w:p>
        </w:tc>
      </w:tr>
      <w:tr w14:paraId="3A8820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5D55B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Minor（一般）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81A9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接地链条悬空、未触地，操作不规范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E97E4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员工操作随意，5S管控不到位，无定点定位标准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9AF19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5S专项整顿，接地点位划线定位，日常巡检即时纠偏</w:t>
            </w:r>
          </w:p>
        </w:tc>
      </w:tr>
      <w:tr w14:paraId="66B986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3BCE2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Minor（一般）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ED52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温湿度记录缺失、湿度不达标无补偿措施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1DE67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环境管控意识薄弱，无异常应对机制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0B21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固化每4小时记录机制，湿度偏低开启加湿/离子补偿，留存异常处理记录</w:t>
            </w:r>
          </w:p>
        </w:tc>
      </w:tr>
      <w:tr w14:paraId="0DA7238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76978">
            <w:pPr>
              <w:spacing w:before="120" w:after="120" w:line="288" w:lineRule="auto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Minor（一般）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9C0AC9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ESD标识破损、边界模糊、记录追溯断裂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4255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现场维护、资料管理常态化工作缺失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FC9F0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全域更新标识，修补区域边界，补齐追溯资料，定期复盘核查</w:t>
            </w:r>
          </w:p>
        </w:tc>
      </w:tr>
    </w:tbl>
    <w:p w14:paraId="4FA8DCA4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072ED560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0165F289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25AF3EC0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3BBCF9B2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33AA5016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  <w:b/>
          <w:sz w:val="36"/>
        </w:rPr>
      </w:pPr>
    </w:p>
    <w:p w14:paraId="383DE34B">
      <w:pPr>
        <w:spacing w:before="380" w:after="140" w:line="288" w:lineRule="auto"/>
        <w:ind w:left="0"/>
        <w:jc w:val="left"/>
        <w:outlineLvl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36"/>
        </w:rPr>
        <w:t>十</w:t>
      </w:r>
      <w:r>
        <w:rPr>
          <w:rFonts w:hint="eastAsia" w:ascii="宋体" w:hAnsi="宋体" w:eastAsia="宋体" w:cs="宋体"/>
          <w:b/>
          <w:sz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</w:rPr>
        <w:t>、高阶审厂加分核心能力总结</w:t>
      </w:r>
    </w:p>
    <w:p w14:paraId="15A5DFA5">
      <w:pPr>
        <w:spacing w:before="120" w:after="120" w:line="288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针对车载电子、军工、医疗等高端客户审厂，硬件合规为基础，体系软实力、持续改进能力为核心加分项，是区别普通工厂与高端合规工厂的关键。</w:t>
      </w:r>
    </w:p>
    <w:p w14:paraId="5BBAA3B8"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数据化持续改进能力</w:t>
      </w:r>
    </w:p>
    <w:p w14:paraId="7B356657">
      <w:pPr>
        <w:spacing w:before="120" w:after="120" w:line="240" w:lineRule="auto"/>
        <w:ind w:left="0" w:firstLine="44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建立ESD大数据管控台账，定期输出季度/年度电阻变化趋势、违规问题统计、设备失效趋势分析报告，通过数据复盘优化工艺、调整管控策略，体现企业主动改进、风险前置的高阶管理能力。</w:t>
      </w:r>
    </w:p>
    <w:tbl>
      <w:tblPr>
        <w:tblStyle w:val="6"/>
        <w:tblW w:w="10240" w:type="dxa"/>
        <w:tblInd w:w="0" w:type="dxa"/>
        <w:tblBorders>
          <w:top w:val="single" w:color="E0E0E0" w:sz="2" w:space="0"/>
          <w:left w:val="single" w:color="E0E0E0" w:sz="2" w:space="0"/>
          <w:bottom w:val="single" w:color="E0E0E0" w:sz="2" w:space="0"/>
          <w:right w:val="single" w:color="E0E0E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0"/>
        <w:gridCol w:w="5266"/>
        <w:gridCol w:w="3214"/>
      </w:tblGrid>
      <w:tr w14:paraId="490344A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3B5AD5C8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模块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36EA8D8E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检查内容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48DD4" w:themeFill="text2" w:themeFillTint="99"/>
            <w:tcMar>
              <w:top w:w="75" w:type="dxa"/>
              <w:left w:w="0" w:type="dxa"/>
              <w:bottom w:w="75" w:type="dxa"/>
              <w:right w:w="150" w:type="dxa"/>
            </w:tcMar>
            <w:vAlign w:val="center"/>
          </w:tcPr>
          <w:p w14:paraId="57390C3A">
            <w:pPr>
              <w:pStyle w:val="5"/>
              <w:keepNext w:val="0"/>
              <w:keepLines w:val="0"/>
              <w:widowControl/>
              <w:suppressLineNumbers w:val="0"/>
              <w:wordWrap/>
              <w:jc w:val="center"/>
              <w:rPr>
                <w:rFonts w:hint="eastAsia" w:ascii="宋体" w:hAnsi="宋体" w:eastAsia="宋体" w:cs="宋体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备注/证据</w:t>
            </w:r>
          </w:p>
        </w:tc>
      </w:tr>
      <w:tr w14:paraId="506A333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F98F4C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1. 组织与文件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91AAFB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是否任命 ESD 协调员并有有效证书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D4C22C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任命书、证书复印件</w:t>
            </w:r>
          </w:p>
        </w:tc>
      </w:tr>
      <w:tr w14:paraId="0D8810A8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0B04D3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EFC1F1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是否发布公司级 ESD 控制手册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75BF04E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文件编号、版本号</w:t>
            </w:r>
          </w:p>
        </w:tc>
      </w:tr>
      <w:tr w14:paraId="27367A71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89B7DE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63BA95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各部门职责是否书面化并签字确认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822ACFF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职责矩阵、签收记录</w:t>
            </w:r>
          </w:p>
        </w:tc>
      </w:tr>
      <w:tr w14:paraId="4DDFA6D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D36D42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2. 接地系统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8F089C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总接地电阻 &lt; 4Ω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E0AD99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测试报告</w:t>
            </w:r>
          </w:p>
        </w:tc>
      </w:tr>
      <w:tr w14:paraId="0965BC9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4030B0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9C425CD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工作台/设备独立接地，无串接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2DFA6B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现场照片</w:t>
            </w:r>
          </w:p>
        </w:tc>
      </w:tr>
      <w:tr w14:paraId="3555FA2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1B79DA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15018F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接地端子无锈蚀、连接可靠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83F7E9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点检表</w:t>
            </w:r>
          </w:p>
        </w:tc>
      </w:tr>
      <w:tr w14:paraId="5F3FAECC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BE39CA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3. EPA 区域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C51C53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EPA 边界清晰、标识完整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54FCEB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现场巡查</w:t>
            </w:r>
          </w:p>
        </w:tc>
      </w:tr>
      <w:tr w14:paraId="6FD4650D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BD201C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8CB70E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入口有人體综合测试仪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52944D3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使用记录</w:t>
            </w:r>
          </w:p>
        </w:tc>
      </w:tr>
      <w:tr w14:paraId="50C9925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363CC3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4F3B1E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非 EPA 区敏感物料使用屏蔽包装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BF45F98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包装检验记录</w:t>
            </w:r>
          </w:p>
        </w:tc>
      </w:tr>
      <w:tr w14:paraId="474FE7BD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3B04B86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4. 人员防护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92136B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100% 人员班前通过人体综合测试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637427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测试日志</w:t>
            </w:r>
          </w:p>
        </w:tc>
      </w:tr>
      <w:tr w14:paraId="44D50F3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05BA5D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D944DB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防静电服/鞋电阻在合格范围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5435CA8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测试数据</w:t>
            </w:r>
          </w:p>
        </w:tc>
      </w:tr>
      <w:tr w14:paraId="51E27260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7B0DFC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DE7375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手环佩戴规范、金属面贴皮肤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7D965C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现场观察</w:t>
            </w:r>
          </w:p>
        </w:tc>
      </w:tr>
      <w:tr w14:paraId="44856F01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A446F4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5. 设备/工位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9959A9F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台垫电阻定期测试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63C999D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测试记录</w:t>
            </w:r>
          </w:p>
        </w:tc>
      </w:tr>
      <w:tr w14:paraId="19D157DE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0C8BAA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684A1F9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电烙铁/工具接地良好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2C08BB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点检表</w:t>
            </w:r>
          </w:p>
        </w:tc>
      </w:tr>
      <w:tr w14:paraId="23478063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4F7AE5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F6105D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无未接地孤立导体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69A39CC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现场巡查</w:t>
            </w:r>
          </w:p>
        </w:tc>
      </w:tr>
      <w:tr w14:paraId="08D0218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F449D03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6. 离子风机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A7EE42A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离子平衡度 ≤ ±35V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7AB8C79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校准记录</w:t>
            </w:r>
          </w:p>
        </w:tc>
      </w:tr>
      <w:tr w14:paraId="4B0C4E48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D665D1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6D24E23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衰减时间 &lt; 10s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B6A8A63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测试报告</w:t>
            </w:r>
          </w:p>
        </w:tc>
      </w:tr>
      <w:tr w14:paraId="691213F5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D84EEC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6D8678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滤网清洁、定期维护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5C2BD0C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PM 记录</w:t>
            </w:r>
          </w:p>
        </w:tc>
      </w:tr>
      <w:tr w14:paraId="1CF6254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FA39316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7. 包装材料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6EFA181A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建立 ESDS 清单及包装规范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8345E8B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文件</w:t>
            </w:r>
          </w:p>
        </w:tc>
      </w:tr>
      <w:tr w14:paraId="19A63B1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E2CEDE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21C9343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包装材料 IQC 检验记录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AA2BD18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检验报告</w:t>
            </w:r>
          </w:p>
        </w:tc>
      </w:tr>
      <w:tr w14:paraId="13A42909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DAD95D4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vertAlign w:val="baseline"/>
              </w:rPr>
              <w:t>8. 检测仪器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F7B10BD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所有仪器在校准期内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1D2293B8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校准证书</w:t>
            </w:r>
          </w:p>
        </w:tc>
      </w:tr>
      <w:tr w14:paraId="7348BD5B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B997F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47569DA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日常点检使用校验板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06195D72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点检表</w:t>
            </w:r>
          </w:p>
        </w:tc>
      </w:tr>
      <w:tr w14:paraId="4A9170DF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B4375C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</w:rPr>
              <w:t>9. 培训与记录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BF57482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新员工 100% 接受 ESD 培训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9C1ECF5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培训签到表</w:t>
            </w:r>
          </w:p>
        </w:tc>
      </w:tr>
      <w:tr w14:paraId="07725FAD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D857ABC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2106DF8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培训记录保存 ≥ 3年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F91F81C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档案目录</w:t>
            </w:r>
          </w:p>
        </w:tc>
      </w:tr>
      <w:tr w14:paraId="77F0A784">
        <w:tblPrEx>
          <w:tblBorders>
            <w:top w:val="single" w:color="E0E0E0" w:sz="2" w:space="0"/>
            <w:left w:val="single" w:color="E0E0E0" w:sz="2" w:space="0"/>
            <w:bottom w:val="single" w:color="E0E0E0" w:sz="2" w:space="0"/>
            <w:right w:val="single" w:color="E0E0E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5FF6046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</w:rPr>
              <w:t>10. 持续改进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baseline"/>
              </w:rPr>
              <w:t>​</w:t>
            </w:r>
          </w:p>
        </w:tc>
        <w:tc>
          <w:tcPr>
            <w:tcW w:w="5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4F6BF9F6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对 ESD 事件进行 8D 分析</w:t>
            </w:r>
          </w:p>
        </w:tc>
        <w:tc>
          <w:tcPr>
            <w:tcW w:w="3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50" w:type="dxa"/>
            </w:tcMar>
            <w:vAlign w:val="top"/>
          </w:tcPr>
          <w:p w14:paraId="38623087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</w:rPr>
              <w:t>8D 报告案例</w:t>
            </w:r>
          </w:p>
        </w:tc>
      </w:tr>
    </w:tbl>
    <w:p w14:paraId="739EB643">
      <w:pPr>
        <w:spacing w:before="320" w:after="120" w:line="240" w:lineRule="auto"/>
        <w:ind w:left="0"/>
        <w:jc w:val="left"/>
        <w:outlineLvl w:val="1"/>
        <w:rPr>
          <w:rFonts w:hint="eastAsia" w:ascii="宋体" w:hAnsi="宋体" w:eastAsia="宋体" w:cs="宋体"/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.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558ED5" w:themeColor="text2" w:themeTint="99"/>
          <w:sz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标准化8D闭环整改能力</w:t>
      </w:r>
    </w:p>
    <w:p w14:paraId="147B2042">
      <w:pPr>
        <w:spacing w:before="120" w:after="120" w:line="240" w:lineRule="auto"/>
        <w:ind w:left="0" w:firstLine="44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发生ESD不良、违规问题后，必须</w:t>
      </w:r>
      <w:r>
        <w:rPr>
          <w:rFonts w:hint="eastAsia" w:ascii="宋体" w:hAnsi="宋体" w:eastAsia="宋体" w:cs="宋体"/>
          <w:b/>
          <w:sz w:val="22"/>
        </w:rPr>
        <w:t>24小时内输出完整8D报告</w:t>
      </w:r>
      <w:r>
        <w:rPr>
          <w:rFonts w:hint="eastAsia" w:ascii="宋体" w:hAnsi="宋体" w:eastAsia="宋体" w:cs="宋体"/>
          <w:sz w:val="22"/>
        </w:rPr>
        <w:t>，包含问题描述、临时遏制措施、鱼骨图根因分析、FMEA风险预判、长期纠正措施、预防措施、效果验证、标准化固化、责任人追踪，实现问题零复发。</w:t>
      </w:r>
    </w:p>
    <w:p w14:paraId="5FADA6E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p w14:paraId="34066B3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p w14:paraId="6133D583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p w14:paraId="46115FB9">
      <w:pPr>
        <w:spacing w:after="80"/>
      </w:pPr>
    </w:p>
    <w:p w14:paraId="41FDA110">
      <w:pPr>
        <w:spacing w:after="80"/>
      </w:pPr>
    </w:p>
    <w:p w14:paraId="0A73C771">
      <w:pPr>
        <w:spacing w:after="80"/>
      </w:pPr>
    </w:p>
    <w:p w14:paraId="4614E468">
      <w:pPr>
        <w:spacing w:after="80"/>
      </w:pPr>
    </w:p>
    <w:p w14:paraId="618306D6">
      <w:pPr>
        <w:spacing w:after="80"/>
      </w:pPr>
    </w:p>
    <w:p w14:paraId="16C534AD">
      <w:pPr>
        <w:spacing w:after="80"/>
      </w:pPr>
    </w:p>
    <w:p w14:paraId="09B19D24">
      <w:pPr>
        <w:spacing w:after="80"/>
      </w:pPr>
    </w:p>
    <w:p w14:paraId="71766F9D">
      <w:pPr>
        <w:spacing w:after="80"/>
      </w:pPr>
    </w:p>
    <w:p w14:paraId="594B9B66">
      <w:pPr>
        <w:spacing w:after="80"/>
      </w:pPr>
    </w:p>
    <w:p w14:paraId="4B4CBF0D">
      <w:pPr>
        <w:spacing w:after="80"/>
      </w:pPr>
    </w:p>
    <w:p w14:paraId="7B1E0EAB">
      <w:pPr>
        <w:spacing w:after="80"/>
      </w:pPr>
    </w:p>
    <w:p w14:paraId="429F9AE3">
      <w:pPr>
        <w:spacing w:after="80"/>
      </w:pPr>
    </w:p>
    <w:p w14:paraId="1E46A539">
      <w:pPr>
        <w:spacing w:after="80"/>
      </w:pPr>
    </w:p>
    <w:p w14:paraId="752C5BD7">
      <w:pPr>
        <w:spacing w:after="80"/>
      </w:pPr>
    </w:p>
    <w:p w14:paraId="7D832078">
      <w:pPr>
        <w:spacing w:after="80"/>
      </w:pPr>
    </w:p>
    <w:p w14:paraId="72141E58">
      <w:pPr>
        <w:spacing w:after="80"/>
      </w:pPr>
    </w:p>
    <w:p w14:paraId="3F871F64">
      <w:pPr>
        <w:spacing w:after="80"/>
      </w:pPr>
    </w:p>
    <w:p w14:paraId="24A396ED">
      <w:pPr>
        <w:spacing w:after="80"/>
      </w:pPr>
    </w:p>
    <w:p w14:paraId="528F689B">
      <w:pPr>
        <w:spacing w:after="80"/>
      </w:pPr>
    </w:p>
    <w:p w14:paraId="27EB3606">
      <w:pPr>
        <w:spacing w:after="80"/>
      </w:pPr>
    </w:p>
    <w:p w14:paraId="5DB2B239">
      <w:pPr>
        <w:spacing w:after="80"/>
      </w:pPr>
    </w:p>
    <w:p w14:paraId="1CBE654E">
      <w:pPr>
        <w:spacing w:after="80"/>
      </w:pPr>
    </w:p>
    <w:p w14:paraId="69DF252A">
      <w:pPr>
        <w:spacing w:after="80"/>
      </w:pPr>
    </w:p>
    <w:p w14:paraId="105331A1">
      <w:pPr>
        <w:spacing w:after="80"/>
      </w:pPr>
    </w:p>
    <w:p w14:paraId="252C3C52">
      <w:pPr>
        <w:spacing w:after="80"/>
      </w:pPr>
    </w:p>
    <w:p w14:paraId="4DF972D0">
      <w:pPr>
        <w:spacing w:after="80"/>
      </w:pPr>
    </w:p>
    <w:p w14:paraId="2EDAC470">
      <w:pPr>
        <w:spacing w:after="80"/>
      </w:pPr>
    </w:p>
    <w:p w14:paraId="3AB85C48">
      <w:pPr>
        <w:spacing w:after="80"/>
      </w:pPr>
    </w:p>
    <w:p w14:paraId="3FC9D4B7">
      <w:pPr>
        <w:spacing w:after="80"/>
      </w:pPr>
    </w:p>
    <w:p w14:paraId="14D0A61B">
      <w:pPr>
        <w:spacing w:after="80"/>
      </w:pPr>
    </w:p>
    <w:p w14:paraId="3AB876E5">
      <w:pPr>
        <w:pBdr>
          <w:top w:val="single" w:color="2E75B6" w:sz="4" w:space="1"/>
        </w:pBdr>
        <w:spacing w:before="400" w:after="2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思研</w:t>
      </w:r>
      <w:r>
        <w:rPr>
          <w:rFonts w:hint="eastAsia" w:ascii="WenQuanYi Micro Hei" w:hAnsi="WenQuanYi Micro Hei" w:eastAsia="WenQuanYi Micro Hei" w:cs="WenQuanYi Micro Hei"/>
          <w:b/>
          <w:bCs/>
          <w:color w:val="1F4E79"/>
          <w:sz w:val="24"/>
          <w:szCs w:val="24"/>
          <w:lang w:val="en-US" w:eastAsia="zh-CN"/>
        </w:rPr>
        <w:t>科技</w:t>
      </w: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 xml:space="preserve"> · ESD静电防护专家</w:t>
      </w:r>
    </w:p>
    <w:p w14:paraId="55816786">
      <w:pPr>
        <w:spacing w:after="80"/>
        <w:jc w:val="center"/>
      </w:pP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电话：18666968958  |  邮箱：</w:t>
      </w:r>
      <w:r>
        <w:rPr>
          <w:rFonts w:hint="eastAsia" w:ascii="WenQuanYi Micro Hei" w:hAnsi="WenQuanYi Micro Hei" w:eastAsia="WenQuanYi Micro Hei" w:cs="WenQuanYi Micro Hei"/>
          <w:color w:val="666666"/>
          <w:sz w:val="20"/>
          <w:szCs w:val="20"/>
          <w:lang w:val="en-US" w:eastAsia="zh-CN"/>
        </w:rPr>
        <w:t>gaoguoan</w:t>
      </w:r>
      <w:r>
        <w:rPr>
          <w:rFonts w:ascii="WenQuanYi Micro Hei" w:hAnsi="WenQuanYi Micro Hei" w:eastAsia="WenQuanYi Micro Hei" w:cs="WenQuanYi Micro Hei"/>
          <w:color w:val="666666"/>
          <w:sz w:val="20"/>
          <w:szCs w:val="20"/>
        </w:rPr>
        <w:t>@siyan.tech</w:t>
      </w:r>
    </w:p>
    <w:p w14:paraId="61DDA0AD">
      <w:pPr>
        <w:jc w:val="center"/>
      </w:pPr>
      <w:r>
        <w:rPr>
          <w:rFonts w:ascii="WenQuanYi Micro Hei" w:hAnsi="WenQuanYi Micro Hei" w:eastAsia="WenQuanYi Micro Hei" w:cs="WenQuanYi Micro Hei"/>
          <w:color w:val="2E75B6"/>
          <w:sz w:val="20"/>
          <w:szCs w:val="20"/>
        </w:rPr>
        <w:t>官网：https://siyan.tech</w:t>
      </w:r>
    </w:p>
    <w:p w14:paraId="759F634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</w:rPr>
      </w:pPr>
    </w:p>
    <w:sectPr>
      <w:headerReference r:id="rId4" w:type="default"/>
      <w:footerReference r:id="rId5" w:type="default"/>
      <w:pgSz w:w="11905" w:h="16840"/>
      <w:pgMar w:top="720" w:right="720" w:bottom="720" w:left="720" w:header="720" w:footer="72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B5FE6">
    <w:pPr>
      <w:pStyle w:val="3"/>
      <w:rPr>
        <w:rFonts w:ascii="Arial" w:hAnsi="Arial" w:eastAsia="等线" w:cs="Arial"/>
        <w:sz w:val="2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-5715</wp:posOffset>
              </wp:positionV>
              <wp:extent cx="6638925" cy="13970"/>
              <wp:effectExtent l="0" t="4445" r="0" b="10160"/>
              <wp:wrapNone/>
              <wp:docPr id="5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50215" y="9737090"/>
                        <a:ext cx="6638925" cy="1397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0.55pt;margin-top:-0.45pt;height:1.1pt;width:522.75pt;z-index:251660288;mso-width-relative:page;mso-height-relative:page;" filled="f" stroked="t" coordsize="21600,21600" o:gfxdata="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Zk/5B1AAAAAcBAAAPAAAAAAAAAAEAIAAAACIAAABkcnMvZG93bnJldi54bWxQSwEC&#10;FAAUAAAACACHTuJAkTPTaPgBAADqAwAADgAAAAAAAAABACAAAAAjAQAAZHJzL2Uyb0RvYy54bWxQ&#10;SwUGAAAAAAYABgBZAQAAjQ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2927350</wp:posOffset>
              </wp:positionH>
              <wp:positionV relativeFrom="paragraph">
                <wp:posOffset>38735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CD0D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0.5pt;margin-top:3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E8TtXVAAAACQEAAA8AAAAAAAAAAQAgAAAAIgAAAGRycy9kb3du&#10;cmV2LnhtbFBLAQIUABQAAAAIAIdO4kAEb5CgyQEAAJkDAAAOAAAAAAAAAAEAIAAAACQ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3CD0D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A44F8">
    <w:pPr>
      <w:pStyle w:val="4"/>
    </w:pPr>
    <w:r>
      <w:rPr>
        <w:sz w:val="18"/>
      </w:rPr>
      <w:pict>
        <v:shape id="PowerPlusWaterMarkObject35253" o:spid="_x0000_s2049" o:spt="136" type="#_x0000_t136" style="position:absolute;left:0pt;height:89.3pt;width:497.95pt;mso-position-horizontal:center;mso-position-horizontal-relative:margin;mso-position-vertical:center;mso-position-vertical-relative:margin;rotation:-2949120f;z-index:-25165414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思研科技 SIYAN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C8F73">
    <w:pPr>
      <w:pBdr>
        <w:bottom w:val="none" w:color="auto" w:sz="0" w:space="1"/>
      </w:pBdr>
      <w:ind w:firstLine="964" w:firstLineChars="400"/>
      <w:rPr>
        <w:rFonts w:hint="eastAsia" w:ascii="黑体" w:hAnsi="黑体" w:eastAsia="黑体" w:cs="黑体"/>
        <w:b/>
        <w:bCs/>
        <w:color w:val="558ED5" w:themeColor="text2" w:themeTint="99"/>
        <w:sz w:val="20"/>
        <w:szCs w:val="20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</w:pPr>
    <w:r>
      <w:rPr>
        <w:rFonts w:hint="eastAsia" w:ascii="黑体" w:hAnsi="黑体" w:eastAsia="黑体" w:cs="黑体"/>
        <w:b/>
        <w:bCs/>
        <w:color w:val="558ED5" w:themeColor="text2" w:themeTint="99"/>
        <w:sz w:val="24"/>
        <w:szCs w:val="24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-181610</wp:posOffset>
          </wp:positionV>
          <wp:extent cx="461010" cy="466725"/>
          <wp:effectExtent l="0" t="0" r="5715" b="0"/>
          <wp:wrapNone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01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黑体" w:hAnsi="黑体" w:eastAsia="黑体" w:cs="黑体"/>
        <w:b/>
        <w:bCs/>
        <w:color w:val="558ED5" w:themeColor="text2" w:themeTint="99"/>
        <w:sz w:val="24"/>
        <w:szCs w:val="24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 xml:space="preserve">思研科技 SIYAN TECH   | </w:t>
    </w:r>
    <w:r>
      <w:rPr>
        <w:rFonts w:hint="eastAsia" w:ascii="黑体" w:hAnsi="黑体" w:eastAsia="黑体" w:cs="黑体"/>
        <w:b/>
        <w:bCs/>
        <w:color w:val="558ED5" w:themeColor="text2" w:themeTint="99"/>
        <w:sz w:val="20"/>
        <w:szCs w:val="20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 xml:space="preserve"> ESD全流程控制与审厂合规白皮书</w:t>
    </w:r>
  </w:p>
  <w:p w14:paraId="3AEF6196">
    <w:pPr>
      <w:pBdr>
        <w:bottom w:val="single" w:color="auto" w:sz="4" w:space="0"/>
      </w:pBdr>
    </w:pPr>
    <w:r>
      <w:rPr>
        <w:sz w:val="18"/>
      </w:rPr>
      <w:pict>
        <v:shape id="_x0000_s2050" o:spid="_x0000_s2050" o:spt="136" type="#_x0000_t136" style="position:absolute;left:0pt;height:89.3pt;width:497.95pt;mso-position-horizontal:center;mso-position-horizontal-relative:margin;mso-position-vertical:center;mso-position-vertical-relative:margin;rotation:-2949120f;z-index:-25165312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思研科技 SIYAN" style="font-family:微软雅黑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25EC3C5"/>
    <w:multiLevelType w:val="singleLevel"/>
    <w:tmpl w:val="825EC3C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45B5372"/>
    <w:multiLevelType w:val="singleLevel"/>
    <w:tmpl w:val="845B537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899CFA98"/>
    <w:multiLevelType w:val="singleLevel"/>
    <w:tmpl w:val="899CFA9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1995D4F"/>
    <w:multiLevelType w:val="singleLevel"/>
    <w:tmpl w:val="91995D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91B69C97"/>
    <w:multiLevelType w:val="singleLevel"/>
    <w:tmpl w:val="91B69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98CD717A"/>
    <w:multiLevelType w:val="singleLevel"/>
    <w:tmpl w:val="98CD717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9ACF65A0"/>
    <w:multiLevelType w:val="singleLevel"/>
    <w:tmpl w:val="9ACF65A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9C11E984"/>
    <w:multiLevelType w:val="singleLevel"/>
    <w:tmpl w:val="9C11E9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9C7198AA"/>
    <w:multiLevelType w:val="singleLevel"/>
    <w:tmpl w:val="9C7198A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9D5D7490"/>
    <w:multiLevelType w:val="singleLevel"/>
    <w:tmpl w:val="9D5D749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9DFC6F65"/>
    <w:multiLevelType w:val="singleLevel"/>
    <w:tmpl w:val="9DFC6F6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A0C93552"/>
    <w:multiLevelType w:val="singleLevel"/>
    <w:tmpl w:val="A0C935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A0F05207"/>
    <w:multiLevelType w:val="singleLevel"/>
    <w:tmpl w:val="A0F0520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A9AC3AA7"/>
    <w:multiLevelType w:val="singleLevel"/>
    <w:tmpl w:val="A9AC3A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AAF3F3FA"/>
    <w:multiLevelType w:val="singleLevel"/>
    <w:tmpl w:val="AAF3F3F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B23A94A9"/>
    <w:multiLevelType w:val="singleLevel"/>
    <w:tmpl w:val="B23A94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B4833F46"/>
    <w:multiLevelType w:val="singleLevel"/>
    <w:tmpl w:val="B4833F4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4">
    <w:nsid w:val="B53F3350"/>
    <w:multiLevelType w:val="singleLevel"/>
    <w:tmpl w:val="B53F335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B88D21A8"/>
    <w:multiLevelType w:val="singleLevel"/>
    <w:tmpl w:val="B88D21A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BB64CFA9"/>
    <w:multiLevelType w:val="singleLevel"/>
    <w:tmpl w:val="BB64CF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BCECA0B4"/>
    <w:multiLevelType w:val="singleLevel"/>
    <w:tmpl w:val="BCECA0B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BE8A4F4C"/>
    <w:multiLevelType w:val="singleLevel"/>
    <w:tmpl w:val="BE8A4F4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BF50FE6B"/>
    <w:multiLevelType w:val="singleLevel"/>
    <w:tmpl w:val="BF50FE6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C0915F4F"/>
    <w:multiLevelType w:val="singleLevel"/>
    <w:tmpl w:val="C0915F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5">
    <w:nsid w:val="C4E0D24A"/>
    <w:multiLevelType w:val="singleLevel"/>
    <w:tmpl w:val="C4E0D24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6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C90D1B09"/>
    <w:multiLevelType w:val="singleLevel"/>
    <w:tmpl w:val="C90D1B0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8">
    <w:nsid w:val="CD699D1D"/>
    <w:multiLevelType w:val="singleLevel"/>
    <w:tmpl w:val="CD699D1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CE6130CF"/>
    <w:multiLevelType w:val="singleLevel"/>
    <w:tmpl w:val="CE6130C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0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D1EB1714"/>
    <w:multiLevelType w:val="singleLevel"/>
    <w:tmpl w:val="D1EB171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DAD3A854"/>
    <w:multiLevelType w:val="singleLevel"/>
    <w:tmpl w:val="DAD3A85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4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E0294EC7"/>
    <w:multiLevelType w:val="singleLevel"/>
    <w:tmpl w:val="E0294EC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6">
    <w:nsid w:val="E093A4B0"/>
    <w:multiLevelType w:val="singleLevel"/>
    <w:tmpl w:val="E093A4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E504947C"/>
    <w:multiLevelType w:val="singleLevel"/>
    <w:tmpl w:val="E504947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8">
    <w:nsid w:val="E7B27C5B"/>
    <w:multiLevelType w:val="singleLevel"/>
    <w:tmpl w:val="E7B27C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9">
    <w:nsid w:val="F0E89278"/>
    <w:multiLevelType w:val="singleLevel"/>
    <w:tmpl w:val="F0E8927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0">
    <w:nsid w:val="F3A33954"/>
    <w:multiLevelType w:val="singleLevel"/>
    <w:tmpl w:val="F3A3395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1">
    <w:nsid w:val="F4A942FE"/>
    <w:multiLevelType w:val="singleLevel"/>
    <w:tmpl w:val="F4A942F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2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3">
    <w:nsid w:val="F585BF25"/>
    <w:multiLevelType w:val="singleLevel"/>
    <w:tmpl w:val="F585BF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4">
    <w:nsid w:val="F689643B"/>
    <w:multiLevelType w:val="singleLevel"/>
    <w:tmpl w:val="F689643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5">
    <w:nsid w:val="F7735DC9"/>
    <w:multiLevelType w:val="singleLevel"/>
    <w:tmpl w:val="F7735DC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6">
    <w:nsid w:val="FEC2EA36"/>
    <w:multiLevelType w:val="singleLevel"/>
    <w:tmpl w:val="FEC2EA3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7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8">
    <w:nsid w:val="03A63A41"/>
    <w:multiLevelType w:val="singleLevel"/>
    <w:tmpl w:val="03A63A4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9">
    <w:nsid w:val="03C240C0"/>
    <w:multiLevelType w:val="singleLevel"/>
    <w:tmpl w:val="03C240C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0">
    <w:nsid w:val="0709FD3E"/>
    <w:multiLevelType w:val="singleLevel"/>
    <w:tmpl w:val="0709FD3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1">
    <w:nsid w:val="0C384BA4"/>
    <w:multiLevelType w:val="singleLevel"/>
    <w:tmpl w:val="0C384BA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2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3">
    <w:nsid w:val="0F9F9CCA"/>
    <w:multiLevelType w:val="singleLevel"/>
    <w:tmpl w:val="0F9F9C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4">
    <w:nsid w:val="10D591E5"/>
    <w:multiLevelType w:val="singleLevel"/>
    <w:tmpl w:val="10D591E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5">
    <w:nsid w:val="12EADF99"/>
    <w:multiLevelType w:val="singleLevel"/>
    <w:tmpl w:val="12EADF9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6">
    <w:nsid w:val="1450273B"/>
    <w:multiLevelType w:val="singleLevel"/>
    <w:tmpl w:val="1450273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7">
    <w:nsid w:val="18F74015"/>
    <w:multiLevelType w:val="singleLevel"/>
    <w:tmpl w:val="18F740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8">
    <w:nsid w:val="1ACDE60F"/>
    <w:multiLevelType w:val="singleLevel"/>
    <w:tmpl w:val="1ACDE60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9">
    <w:nsid w:val="1AD50295"/>
    <w:multiLevelType w:val="singleLevel"/>
    <w:tmpl w:val="1AD5029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0">
    <w:nsid w:val="1BCBBCF0"/>
    <w:multiLevelType w:val="singleLevel"/>
    <w:tmpl w:val="1BCBBCF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1">
    <w:nsid w:val="1C257C7B"/>
    <w:multiLevelType w:val="singleLevel"/>
    <w:tmpl w:val="1C257C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2">
    <w:nsid w:val="206092FF"/>
    <w:multiLevelType w:val="singleLevel"/>
    <w:tmpl w:val="206092FF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3">
    <w:nsid w:val="21B3B1B1"/>
    <w:multiLevelType w:val="singleLevel"/>
    <w:tmpl w:val="21B3B1B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4">
    <w:nsid w:val="23E97754"/>
    <w:multiLevelType w:val="singleLevel"/>
    <w:tmpl w:val="23E9775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5">
    <w:nsid w:val="243FCF68"/>
    <w:multiLevelType w:val="singleLevel"/>
    <w:tmpl w:val="243FCF6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6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7">
    <w:nsid w:val="2B3F3F89"/>
    <w:multiLevelType w:val="singleLevel"/>
    <w:tmpl w:val="2B3F3F8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8">
    <w:nsid w:val="2F2D79CE"/>
    <w:multiLevelType w:val="singleLevel"/>
    <w:tmpl w:val="2F2D79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9">
    <w:nsid w:val="30A0AC00"/>
    <w:multiLevelType w:val="singleLevel"/>
    <w:tmpl w:val="30A0AC0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0">
    <w:nsid w:val="30FC5B15"/>
    <w:multiLevelType w:val="singleLevel"/>
    <w:tmpl w:val="30FC5B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1">
    <w:nsid w:val="319234A9"/>
    <w:multiLevelType w:val="singleLevel"/>
    <w:tmpl w:val="319234A9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82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3">
    <w:nsid w:val="35E83B33"/>
    <w:multiLevelType w:val="singleLevel"/>
    <w:tmpl w:val="35E83B3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4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5">
    <w:nsid w:val="3B8127DF"/>
    <w:multiLevelType w:val="singleLevel"/>
    <w:tmpl w:val="3B8127D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6">
    <w:nsid w:val="40B249F9"/>
    <w:multiLevelType w:val="singleLevel"/>
    <w:tmpl w:val="40B249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7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8">
    <w:nsid w:val="4A51D704"/>
    <w:multiLevelType w:val="singleLevel"/>
    <w:tmpl w:val="4A51D70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9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0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1">
    <w:nsid w:val="4CD1E351"/>
    <w:multiLevelType w:val="singleLevel"/>
    <w:tmpl w:val="4CD1E35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2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3">
    <w:nsid w:val="4D94DA66"/>
    <w:multiLevelType w:val="singleLevel"/>
    <w:tmpl w:val="4D94DA6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4">
    <w:nsid w:val="51C4BC33"/>
    <w:multiLevelType w:val="singleLevel"/>
    <w:tmpl w:val="51C4BC3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5">
    <w:nsid w:val="54701CA1"/>
    <w:multiLevelType w:val="singleLevel"/>
    <w:tmpl w:val="54701CA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6">
    <w:nsid w:val="57D256FE"/>
    <w:multiLevelType w:val="singleLevel"/>
    <w:tmpl w:val="57D256FE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97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8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9">
    <w:nsid w:val="5E29AB5A"/>
    <w:multiLevelType w:val="singleLevel"/>
    <w:tmpl w:val="5E29AB5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0">
    <w:nsid w:val="5FCE4367"/>
    <w:multiLevelType w:val="singleLevel"/>
    <w:tmpl w:val="5FCE436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1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2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3">
    <w:nsid w:val="610EFE5C"/>
    <w:multiLevelType w:val="singleLevel"/>
    <w:tmpl w:val="610EFE5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4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5">
    <w:nsid w:val="65CD0074"/>
    <w:multiLevelType w:val="singleLevel"/>
    <w:tmpl w:val="65CD00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6">
    <w:nsid w:val="68B298F7"/>
    <w:multiLevelType w:val="singleLevel"/>
    <w:tmpl w:val="68B298F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7">
    <w:nsid w:val="700FDCEF"/>
    <w:multiLevelType w:val="singleLevel"/>
    <w:tmpl w:val="700FDC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8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9">
    <w:nsid w:val="77633216"/>
    <w:multiLevelType w:val="singleLevel"/>
    <w:tmpl w:val="7763321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0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1">
    <w:nsid w:val="79AA4FA4"/>
    <w:multiLevelType w:val="singleLevel"/>
    <w:tmpl w:val="79AA4F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2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3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39"/>
  </w:num>
  <w:num w:numId="2">
    <w:abstractNumId w:val="57"/>
  </w:num>
  <w:num w:numId="3">
    <w:abstractNumId w:val="40"/>
  </w:num>
  <w:num w:numId="4">
    <w:abstractNumId w:val="98"/>
  </w:num>
  <w:num w:numId="5">
    <w:abstractNumId w:val="32"/>
  </w:num>
  <w:num w:numId="6">
    <w:abstractNumId w:val="25"/>
  </w:num>
  <w:num w:numId="7">
    <w:abstractNumId w:val="81"/>
  </w:num>
  <w:num w:numId="8">
    <w:abstractNumId w:val="23"/>
  </w:num>
  <w:num w:numId="9">
    <w:abstractNumId w:val="36"/>
  </w:num>
  <w:num w:numId="10">
    <w:abstractNumId w:val="92"/>
  </w:num>
  <w:num w:numId="11">
    <w:abstractNumId w:val="52"/>
  </w:num>
  <w:num w:numId="12">
    <w:abstractNumId w:val="76"/>
  </w:num>
  <w:num w:numId="13">
    <w:abstractNumId w:val="44"/>
  </w:num>
  <w:num w:numId="14">
    <w:abstractNumId w:val="42"/>
  </w:num>
  <w:num w:numId="15">
    <w:abstractNumId w:val="14"/>
  </w:num>
  <w:num w:numId="16">
    <w:abstractNumId w:val="89"/>
  </w:num>
  <w:num w:numId="17">
    <w:abstractNumId w:val="102"/>
  </w:num>
  <w:num w:numId="18">
    <w:abstractNumId w:val="62"/>
  </w:num>
  <w:num w:numId="19">
    <w:abstractNumId w:val="87"/>
  </w:num>
  <w:num w:numId="20">
    <w:abstractNumId w:val="21"/>
  </w:num>
  <w:num w:numId="21">
    <w:abstractNumId w:val="112"/>
  </w:num>
  <w:num w:numId="22">
    <w:abstractNumId w:val="110"/>
  </w:num>
  <w:num w:numId="23">
    <w:abstractNumId w:val="31"/>
  </w:num>
  <w:num w:numId="24">
    <w:abstractNumId w:val="104"/>
  </w:num>
  <w:num w:numId="25">
    <w:abstractNumId w:val="9"/>
  </w:num>
  <w:num w:numId="26">
    <w:abstractNumId w:val="84"/>
  </w:num>
  <w:num w:numId="27">
    <w:abstractNumId w:val="4"/>
  </w:num>
  <w:num w:numId="28">
    <w:abstractNumId w:val="97"/>
  </w:num>
  <w:num w:numId="29">
    <w:abstractNumId w:val="113"/>
  </w:num>
  <w:num w:numId="30">
    <w:abstractNumId w:val="1"/>
  </w:num>
  <w:num w:numId="31">
    <w:abstractNumId w:val="75"/>
  </w:num>
  <w:num w:numId="32">
    <w:abstractNumId w:val="93"/>
  </w:num>
  <w:num w:numId="33">
    <w:abstractNumId w:val="55"/>
  </w:num>
  <w:num w:numId="34">
    <w:abstractNumId w:val="46"/>
  </w:num>
  <w:num w:numId="35">
    <w:abstractNumId w:val="80"/>
  </w:num>
  <w:num w:numId="36">
    <w:abstractNumId w:val="111"/>
  </w:num>
  <w:num w:numId="37">
    <w:abstractNumId w:val="28"/>
  </w:num>
  <w:num w:numId="38">
    <w:abstractNumId w:val="7"/>
  </w:num>
  <w:num w:numId="39">
    <w:abstractNumId w:val="27"/>
  </w:num>
  <w:num w:numId="40">
    <w:abstractNumId w:val="99"/>
  </w:num>
  <w:num w:numId="41">
    <w:abstractNumId w:val="3"/>
  </w:num>
  <w:num w:numId="42">
    <w:abstractNumId w:val="68"/>
  </w:num>
  <w:num w:numId="43">
    <w:abstractNumId w:val="6"/>
  </w:num>
  <w:num w:numId="44">
    <w:abstractNumId w:val="101"/>
  </w:num>
  <w:num w:numId="45">
    <w:abstractNumId w:val="108"/>
  </w:num>
  <w:num w:numId="46">
    <w:abstractNumId w:val="90"/>
  </w:num>
  <w:num w:numId="47">
    <w:abstractNumId w:val="82"/>
  </w:num>
  <w:num w:numId="48">
    <w:abstractNumId w:val="105"/>
  </w:num>
  <w:num w:numId="49">
    <w:abstractNumId w:val="60"/>
  </w:num>
  <w:num w:numId="50">
    <w:abstractNumId w:val="72"/>
  </w:num>
  <w:num w:numId="51">
    <w:abstractNumId w:val="5"/>
  </w:num>
  <w:num w:numId="52">
    <w:abstractNumId w:val="96"/>
  </w:num>
  <w:num w:numId="53">
    <w:abstractNumId w:val="71"/>
  </w:num>
  <w:num w:numId="54">
    <w:abstractNumId w:val="49"/>
  </w:num>
  <w:num w:numId="55">
    <w:abstractNumId w:val="74"/>
  </w:num>
  <w:num w:numId="56">
    <w:abstractNumId w:val="24"/>
  </w:num>
  <w:num w:numId="57">
    <w:abstractNumId w:val="86"/>
  </w:num>
  <w:num w:numId="58">
    <w:abstractNumId w:val="63"/>
  </w:num>
  <w:num w:numId="59">
    <w:abstractNumId w:val="83"/>
  </w:num>
  <w:num w:numId="60">
    <w:abstractNumId w:val="58"/>
  </w:num>
  <w:num w:numId="61">
    <w:abstractNumId w:val="34"/>
  </w:num>
  <w:num w:numId="62">
    <w:abstractNumId w:val="65"/>
  </w:num>
  <w:num w:numId="63">
    <w:abstractNumId w:val="22"/>
  </w:num>
  <w:num w:numId="64">
    <w:abstractNumId w:val="85"/>
  </w:num>
  <w:num w:numId="65">
    <w:abstractNumId w:val="18"/>
  </w:num>
  <w:num w:numId="66">
    <w:abstractNumId w:val="54"/>
  </w:num>
  <w:num w:numId="67">
    <w:abstractNumId w:val="79"/>
  </w:num>
  <w:num w:numId="68">
    <w:abstractNumId w:val="56"/>
  </w:num>
  <w:num w:numId="69">
    <w:abstractNumId w:val="67"/>
  </w:num>
  <w:num w:numId="70">
    <w:abstractNumId w:val="107"/>
  </w:num>
  <w:num w:numId="71">
    <w:abstractNumId w:val="47"/>
  </w:num>
  <w:num w:numId="72">
    <w:abstractNumId w:val="35"/>
  </w:num>
  <w:num w:numId="73">
    <w:abstractNumId w:val="17"/>
  </w:num>
  <w:num w:numId="74">
    <w:abstractNumId w:val="109"/>
  </w:num>
  <w:num w:numId="75">
    <w:abstractNumId w:val="43"/>
  </w:num>
  <w:num w:numId="76">
    <w:abstractNumId w:val="26"/>
  </w:num>
  <w:num w:numId="77">
    <w:abstractNumId w:val="78"/>
  </w:num>
  <w:num w:numId="78">
    <w:abstractNumId w:val="48"/>
  </w:num>
  <w:num w:numId="79">
    <w:abstractNumId w:val="11"/>
  </w:num>
  <w:num w:numId="80">
    <w:abstractNumId w:val="15"/>
  </w:num>
  <w:num w:numId="81">
    <w:abstractNumId w:val="20"/>
  </w:num>
  <w:num w:numId="82">
    <w:abstractNumId w:val="8"/>
  </w:num>
  <w:num w:numId="83">
    <w:abstractNumId w:val="70"/>
  </w:num>
  <w:num w:numId="84">
    <w:abstractNumId w:val="30"/>
  </w:num>
  <w:num w:numId="85">
    <w:abstractNumId w:val="66"/>
  </w:num>
  <w:num w:numId="86">
    <w:abstractNumId w:val="41"/>
  </w:num>
  <w:num w:numId="87">
    <w:abstractNumId w:val="106"/>
  </w:num>
  <w:num w:numId="88">
    <w:abstractNumId w:val="0"/>
  </w:num>
  <w:num w:numId="89">
    <w:abstractNumId w:val="29"/>
  </w:num>
  <w:num w:numId="90">
    <w:abstractNumId w:val="53"/>
  </w:num>
  <w:num w:numId="91">
    <w:abstractNumId w:val="91"/>
  </w:num>
  <w:num w:numId="92">
    <w:abstractNumId w:val="64"/>
  </w:num>
  <w:num w:numId="93">
    <w:abstractNumId w:val="12"/>
  </w:num>
  <w:num w:numId="94">
    <w:abstractNumId w:val="45"/>
  </w:num>
  <w:num w:numId="95">
    <w:abstractNumId w:val="69"/>
  </w:num>
  <w:num w:numId="96">
    <w:abstractNumId w:val="88"/>
  </w:num>
  <w:num w:numId="97">
    <w:abstractNumId w:val="19"/>
  </w:num>
  <w:num w:numId="98">
    <w:abstractNumId w:val="103"/>
  </w:num>
  <w:num w:numId="99">
    <w:abstractNumId w:val="2"/>
  </w:num>
  <w:num w:numId="100">
    <w:abstractNumId w:val="61"/>
  </w:num>
  <w:num w:numId="101">
    <w:abstractNumId w:val="33"/>
  </w:num>
  <w:num w:numId="102">
    <w:abstractNumId w:val="37"/>
  </w:num>
  <w:num w:numId="103">
    <w:abstractNumId w:val="51"/>
  </w:num>
  <w:num w:numId="104">
    <w:abstractNumId w:val="100"/>
  </w:num>
  <w:num w:numId="105">
    <w:abstractNumId w:val="50"/>
  </w:num>
  <w:num w:numId="106">
    <w:abstractNumId w:val="95"/>
  </w:num>
  <w:num w:numId="107">
    <w:abstractNumId w:val="73"/>
  </w:num>
  <w:num w:numId="108">
    <w:abstractNumId w:val="10"/>
  </w:num>
  <w:num w:numId="109">
    <w:abstractNumId w:val="59"/>
  </w:num>
  <w:num w:numId="110">
    <w:abstractNumId w:val="16"/>
  </w:num>
  <w:num w:numId="111">
    <w:abstractNumId w:val="77"/>
  </w:num>
  <w:num w:numId="112">
    <w:abstractNumId w:val="94"/>
  </w:num>
  <w:num w:numId="113">
    <w:abstractNumId w:val="38"/>
  </w:num>
  <w:num w:numId="1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61B09"/>
    <w:rsid w:val="107A2AF4"/>
    <w:rsid w:val="114E06C3"/>
    <w:rsid w:val="120F35E0"/>
    <w:rsid w:val="13214148"/>
    <w:rsid w:val="17C81DF0"/>
    <w:rsid w:val="1F5A0233"/>
    <w:rsid w:val="29B73D20"/>
    <w:rsid w:val="2D8A203C"/>
    <w:rsid w:val="33116167"/>
    <w:rsid w:val="38AF15A1"/>
    <w:rsid w:val="3CE872A7"/>
    <w:rsid w:val="3E5325C6"/>
    <w:rsid w:val="47873C01"/>
    <w:rsid w:val="50F7526B"/>
    <w:rsid w:val="50FB0462"/>
    <w:rsid w:val="53797ECF"/>
    <w:rsid w:val="59081729"/>
    <w:rsid w:val="6B672BA9"/>
    <w:rsid w:val="6D741C2C"/>
    <w:rsid w:val="73CD6FBB"/>
    <w:rsid w:val="756F5A66"/>
    <w:rsid w:val="75736D54"/>
    <w:rsid w:val="79FE0535"/>
    <w:rsid w:val="7B3B0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5967</Words>
  <Characters>6744</Characters>
  <TotalTime>0</TotalTime>
  <ScaleCrop>false</ScaleCrop>
  <LinksUpToDate>false</LinksUpToDate>
  <CharactersWithSpaces>6866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2026-06-18T04:26:00Z</dcterms:created>
  <dc:creator>Apache POI</dc:creator>
  <cp:lastModifiedBy>高国安18666968958</cp:lastModifiedBy>
  <dcterms:modified xsi:type="dcterms:W3CDTF">2026-06-19T22:52:08Z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{"Label":"1","ContentProducer":"001191110102MACQD9K64010000","ProduceID":"7652587138756054214","ReservedCode1":"","ContentPropagator":"","PropagateID":"","ReservedCode2":""}</vt:lpwstr>
  </property>
  <property fmtid="{D5CDD505-2E9C-101B-9397-08002B2CF9AE}" pid="3" name="KSOTemplateDocerSaveRecord">
    <vt:lpwstr>eyJoZGlkIjoiYTMzZjE1NTk2ZmY4NzhmZTU0NTFkN2JhYThjZWVlOGIiLCJ1c2VySWQiOiIxMDY4OTAwNDMzIn0=</vt:lpwstr>
  </property>
  <property fmtid="{D5CDD505-2E9C-101B-9397-08002B2CF9AE}" pid="4" name="KSOProductBuildVer">
    <vt:lpwstr>2052-12.1.0.26895</vt:lpwstr>
  </property>
  <property fmtid="{D5CDD505-2E9C-101B-9397-08002B2CF9AE}" pid="5" name="ICV">
    <vt:lpwstr>E7DFE4FE78F842A0AF400AEDE7A4615F_13</vt:lpwstr>
  </property>
</Properties>
</file>