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1507C">
      <w:pPr>
        <w:pStyle w:val="2"/>
        <w:jc w:val="center"/>
        <w:rPr>
          <w:rFonts w:hint="eastAsia" w:ascii="宋体" w:hAnsi="宋体" w:eastAsia="宋体" w:cs="宋体"/>
          <w:sz w:val="48"/>
          <w:szCs w:val="48"/>
          <w:lang w:val="en-US" w:eastAsia="zh-CN"/>
        </w:rPr>
      </w:pPr>
    </w:p>
    <w:p w14:paraId="00553CC8">
      <w:pPr>
        <w:pStyle w:val="2"/>
        <w:jc w:val="center"/>
        <w:rPr>
          <w:rFonts w:hint="eastAsia" w:ascii="宋体" w:hAnsi="宋体" w:eastAsia="宋体" w:cs="宋体"/>
          <w:sz w:val="48"/>
          <w:szCs w:val="48"/>
          <w:lang w:val="en-US" w:eastAsia="zh-CN"/>
        </w:rPr>
      </w:pPr>
    </w:p>
    <w:p w14:paraId="1B6CF966">
      <w:pPr>
        <w:pStyle w:val="2"/>
        <w:jc w:val="center"/>
        <w:rPr>
          <w:rFonts w:hint="eastAsia" w:ascii="宋体" w:hAnsi="宋体" w:eastAsia="宋体" w:cs="宋体"/>
          <w:sz w:val="48"/>
          <w:szCs w:val="48"/>
          <w:lang w:val="en-US" w:eastAsia="zh-CN"/>
        </w:rPr>
      </w:pPr>
    </w:p>
    <w:p w14:paraId="1C159E0A">
      <w:pPr>
        <w:pStyle w:val="2"/>
        <w:jc w:val="center"/>
        <w:rPr>
          <w:rFonts w:hint="eastAsia" w:ascii="宋体" w:hAnsi="宋体" w:eastAsia="宋体" w:cs="宋体"/>
          <w:sz w:val="48"/>
          <w:szCs w:val="48"/>
          <w:lang w:val="en-US" w:eastAsia="zh-CN"/>
        </w:rPr>
      </w:pPr>
    </w:p>
    <w:p w14:paraId="2A08568A">
      <w:pPr>
        <w:pStyle w:val="2"/>
        <w:jc w:val="center"/>
        <w:rPr>
          <w:rFonts w:hint="eastAsia" w:ascii="宋体" w:hAnsi="宋体" w:eastAsia="宋体" w:cs="宋体"/>
          <w:sz w:val="48"/>
          <w:szCs w:val="48"/>
        </w:rPr>
      </w:pPr>
      <w:r>
        <w:rPr>
          <w:rFonts w:hint="eastAsia" w:ascii="宋体" w:hAnsi="宋体" w:eastAsia="宋体" w:cs="宋体"/>
          <w:sz w:val="48"/>
          <w:szCs w:val="48"/>
          <w:lang w:val="en-US" w:eastAsia="zh-CN"/>
        </w:rPr>
        <w:t>ESD</w:t>
      </w:r>
      <w:r>
        <w:rPr>
          <w:rFonts w:hint="eastAsia" w:ascii="宋体" w:hAnsi="宋体" w:eastAsia="宋体" w:cs="宋体"/>
          <w:sz w:val="48"/>
          <w:szCs w:val="48"/>
        </w:rPr>
        <w:t>审厂 NCR 整改案例库</w:t>
      </w:r>
    </w:p>
    <w:p w14:paraId="757076B4">
      <w:pPr>
        <w:pStyle w:val="2"/>
        <w:jc w:val="center"/>
        <w:rPr>
          <w:rFonts w:hint="eastAsia" w:ascii="宋体" w:hAnsi="宋体" w:eastAsia="宋体" w:cs="宋体"/>
        </w:rPr>
      </w:pPr>
      <w:r>
        <w:rPr>
          <w:rFonts w:hint="eastAsia" w:ascii="宋体" w:hAnsi="宋体" w:eastAsia="宋体" w:cs="宋体"/>
        </w:rPr>
        <w:t>（100 条完整版・严格双标准适配）</w:t>
      </w:r>
    </w:p>
    <w:p w14:paraId="441FECBE">
      <w:pPr>
        <w:pStyle w:val="10"/>
        <w:rPr>
          <w:rFonts w:hint="eastAsia" w:ascii="宋体" w:hAnsi="宋体" w:eastAsia="宋体" w:cs="宋体"/>
        </w:rPr>
      </w:pPr>
      <w:r>
        <w:rPr>
          <w:rFonts w:hint="eastAsia" w:ascii="宋体" w:hAnsi="宋体" w:eastAsia="宋体" w:cs="宋体"/>
          <w:b/>
          <w:bCs/>
        </w:rPr>
        <w:t>适配标准</w:t>
      </w:r>
      <w:r>
        <w:rPr>
          <w:rFonts w:hint="eastAsia" w:ascii="宋体" w:hAnsi="宋体" w:eastAsia="宋体" w:cs="宋体"/>
        </w:rPr>
        <w:t>：ANSI/ESD S20.20-2021（美国 ESD 体系权威标准）</w:t>
      </w:r>
    </w:p>
    <w:p w14:paraId="59D56CB1">
      <w:pPr>
        <w:pStyle w:val="10"/>
        <w:ind w:firstLine="1100" w:firstLineChars="500"/>
        <w:rPr>
          <w:rFonts w:hint="eastAsia" w:ascii="宋体" w:hAnsi="宋体" w:eastAsia="宋体" w:cs="宋体"/>
        </w:rPr>
      </w:pPr>
      <w:r>
        <w:rPr>
          <w:rFonts w:hint="eastAsia" w:ascii="宋体" w:hAnsi="宋体" w:eastAsia="宋体" w:cs="宋体"/>
        </w:rPr>
        <w:t>IEC 61340-5-1:2024</w:t>
      </w:r>
      <w:r>
        <w:rPr>
          <w:rFonts w:hint="eastAsia" w:ascii="宋体" w:hAnsi="宋体" w:eastAsia="宋体" w:cs="宋体"/>
          <w:lang w:val="en-US" w:eastAsia="zh-CN"/>
        </w:rPr>
        <w:t xml:space="preserve"> </w:t>
      </w:r>
      <w:r>
        <w:rPr>
          <w:rFonts w:hint="eastAsia" w:ascii="宋体" w:hAnsi="宋体" w:eastAsia="宋体" w:cs="宋体"/>
        </w:rPr>
        <w:t>（最新国际静电防护通用标准）</w:t>
      </w:r>
    </w:p>
    <w:p w14:paraId="2DAEB9A1">
      <w:pPr>
        <w:pStyle w:val="10"/>
        <w:ind w:firstLine="1100" w:firstLineChars="500"/>
        <w:rPr>
          <w:rFonts w:hint="eastAsia" w:ascii="宋体" w:hAnsi="宋体" w:eastAsia="宋体" w:cs="宋体"/>
        </w:rPr>
      </w:pPr>
    </w:p>
    <w:p w14:paraId="65E7BAB5">
      <w:pPr>
        <w:pStyle w:val="10"/>
        <w:ind w:firstLine="1100" w:firstLineChars="500"/>
        <w:rPr>
          <w:rFonts w:hint="eastAsia" w:ascii="宋体" w:hAnsi="宋体" w:eastAsia="宋体" w:cs="宋体"/>
        </w:rPr>
      </w:pPr>
    </w:p>
    <w:p w14:paraId="63C2AE09">
      <w:pPr>
        <w:pStyle w:val="10"/>
        <w:rPr>
          <w:rFonts w:hint="eastAsia" w:ascii="宋体" w:hAnsi="宋体" w:eastAsia="宋体" w:cs="宋体"/>
        </w:rPr>
      </w:pPr>
      <w:r>
        <w:rPr>
          <w:rFonts w:hint="eastAsia" w:ascii="宋体" w:hAnsi="宋体" w:eastAsia="宋体" w:cs="宋体"/>
          <w:b/>
          <w:bCs/>
        </w:rPr>
        <w:t>编制说明</w:t>
      </w:r>
      <w:r>
        <w:rPr>
          <w:rFonts w:hint="eastAsia" w:ascii="宋体" w:hAnsi="宋体" w:eastAsia="宋体" w:cs="宋体"/>
        </w:rPr>
        <w:t>：所有 NCR 按 6 大核心模块划分，每条强制包含规定字段，标准条款精准匹配无错配、年号无误差，不符合等级依据风险科学划分，关键字段用颜色可视化区分，可直接用于审厂提交、稽核闭环、体系参考。</w:t>
      </w:r>
    </w:p>
    <w:p w14:paraId="33D25FAC">
      <w:pPr>
        <w:pStyle w:val="10"/>
        <w:rPr>
          <w:rFonts w:hint="eastAsia" w:ascii="宋体" w:hAnsi="宋体" w:eastAsia="宋体" w:cs="宋体"/>
        </w:rPr>
      </w:pPr>
    </w:p>
    <w:p w14:paraId="77105FB5">
      <w:pPr>
        <w:pBdr>
          <w:bottom w:val="single" w:color="auto" w:sz="6" w:space="1"/>
        </w:pBdr>
        <w:rPr>
          <w:rFonts w:hint="eastAsia" w:ascii="宋体" w:hAnsi="宋体" w:eastAsia="宋体" w:cs="宋体"/>
        </w:rPr>
      </w:pPr>
    </w:p>
    <w:p w14:paraId="0CCD4183">
      <w:pPr>
        <w:pBdr>
          <w:bottom w:val="single" w:color="auto" w:sz="6" w:space="1"/>
        </w:pBdr>
        <w:rPr>
          <w:rFonts w:hint="eastAsia" w:ascii="宋体" w:hAnsi="宋体" w:eastAsia="宋体" w:cs="宋体"/>
        </w:rPr>
      </w:pPr>
    </w:p>
    <w:p w14:paraId="6831F6A1">
      <w:pPr>
        <w:pBdr>
          <w:bottom w:val="single" w:color="auto" w:sz="6" w:space="1"/>
        </w:pBdr>
        <w:rPr>
          <w:rFonts w:hint="eastAsia" w:ascii="宋体" w:hAnsi="宋体" w:eastAsia="宋体" w:cs="宋体"/>
        </w:rPr>
      </w:pPr>
    </w:p>
    <w:p w14:paraId="19650359">
      <w:pPr>
        <w:pBdr>
          <w:bottom w:val="single" w:color="auto" w:sz="6" w:space="1"/>
        </w:pBdr>
        <w:rPr>
          <w:rFonts w:hint="eastAsia" w:ascii="宋体" w:hAnsi="宋体" w:eastAsia="宋体" w:cs="宋体"/>
        </w:rPr>
      </w:pPr>
    </w:p>
    <w:p w14:paraId="40262BDC">
      <w:pPr>
        <w:pBdr>
          <w:bottom w:val="single" w:color="auto" w:sz="6" w:space="1"/>
        </w:pBdr>
        <w:rPr>
          <w:rFonts w:hint="eastAsia" w:ascii="宋体" w:hAnsi="宋体" w:eastAsia="宋体" w:cs="宋体"/>
        </w:rPr>
      </w:pPr>
    </w:p>
    <w:p w14:paraId="62D2967E">
      <w:pPr>
        <w:pBdr>
          <w:bottom w:val="single" w:color="auto" w:sz="6" w:space="1"/>
        </w:pBdr>
        <w:rPr>
          <w:rFonts w:hint="eastAsia" w:ascii="宋体" w:hAnsi="宋体" w:eastAsia="宋体" w:cs="宋体"/>
        </w:rPr>
      </w:pPr>
    </w:p>
    <w:p w14:paraId="0E5D5CD7">
      <w:pPr>
        <w:pBdr>
          <w:bottom w:val="single" w:color="auto" w:sz="6" w:space="1"/>
        </w:pBdr>
        <w:rPr>
          <w:rFonts w:hint="eastAsia" w:ascii="宋体" w:hAnsi="宋体" w:eastAsia="宋体" w:cs="宋体"/>
        </w:rPr>
      </w:pPr>
      <w:bookmarkStart w:id="0" w:name="_GoBack"/>
      <w:bookmarkEnd w:id="0"/>
    </w:p>
    <w:p w14:paraId="3B1D60E2">
      <w:pPr>
        <w:pBdr>
          <w:bottom w:val="single" w:color="auto" w:sz="6" w:space="1"/>
        </w:pBdr>
        <w:rPr>
          <w:rFonts w:hint="eastAsia" w:ascii="宋体" w:hAnsi="宋体" w:eastAsia="宋体" w:cs="宋体"/>
        </w:rPr>
      </w:pPr>
    </w:p>
    <w:p w14:paraId="4184D1AA">
      <w:pPr>
        <w:pBdr>
          <w:bottom w:val="single" w:color="auto" w:sz="6" w:space="1"/>
        </w:pBdr>
        <w:rPr>
          <w:rFonts w:hint="eastAsia" w:ascii="宋体" w:hAnsi="宋体" w:eastAsia="宋体" w:cs="宋体"/>
        </w:rPr>
      </w:pPr>
    </w:p>
    <w:p w14:paraId="59FF9C72">
      <w:pPr>
        <w:pBdr>
          <w:bottom w:val="single" w:color="auto" w:sz="6" w:space="1"/>
        </w:pBdr>
        <w:rPr>
          <w:rFonts w:hint="eastAsia" w:ascii="宋体" w:hAnsi="宋体" w:eastAsia="宋体" w:cs="宋体"/>
        </w:rPr>
      </w:pPr>
    </w:p>
    <w:p w14:paraId="099D5BF7">
      <w:pPr>
        <w:pBdr>
          <w:bottom w:val="single" w:color="auto" w:sz="6" w:space="1"/>
        </w:pBdr>
        <w:rPr>
          <w:rFonts w:hint="eastAsia" w:ascii="宋体" w:hAnsi="宋体" w:eastAsia="宋体" w:cs="宋体"/>
        </w:rPr>
      </w:pPr>
    </w:p>
    <w:p w14:paraId="6EEE1C82">
      <w:pPr>
        <w:pStyle w:val="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rPr>
      </w:pPr>
    </w:p>
    <w:p w14:paraId="7D56CDC3">
      <w:pPr>
        <w:pStyle w:val="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rPr>
      </w:pPr>
      <w:r>
        <w:rPr>
          <w:rFonts w:hint="eastAsia" w:ascii="宋体" w:hAnsi="宋体" w:eastAsia="宋体" w:cs="宋体"/>
        </w:rPr>
        <w:t>案例库目录（共 6 大模块・100 条 NCR）</w:t>
      </w:r>
    </w:p>
    <w:p w14:paraId="206E0CCF">
      <w:pPr>
        <w:pStyle w:val="4"/>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FF"/>
        </w:rPr>
      </w:pPr>
      <w:r>
        <w:rPr>
          <w:rFonts w:hint="eastAsia" w:ascii="宋体" w:hAnsi="宋体" w:eastAsia="宋体" w:cs="宋体"/>
          <w:color w:val="0000FF"/>
        </w:rPr>
        <w:t>模块一：接地系统类（NCR001-NCR020，共 20 条）</w:t>
      </w:r>
    </w:p>
    <w:tbl>
      <w:tblPr>
        <w:tblStyle w:val="7"/>
        <w:tblW w:w="9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6777"/>
      </w:tblGrid>
      <w:tr w14:paraId="6F25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260886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编号</w:t>
            </w:r>
          </w:p>
        </w:tc>
        <w:tc>
          <w:tcPr>
            <w:tcW w:w="6777" w:type="dxa"/>
            <w:tcMar>
              <w:top w:w="60" w:type="dxa"/>
              <w:left w:w="120" w:type="dxa"/>
              <w:bottom w:w="30" w:type="dxa"/>
              <w:right w:w="120" w:type="dxa"/>
            </w:tcMar>
          </w:tcPr>
          <w:p w14:paraId="71CDF2C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标题</w:t>
            </w:r>
          </w:p>
        </w:tc>
      </w:tr>
      <w:tr w14:paraId="1C93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F3813A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NCR001</w:t>
            </w:r>
          </w:p>
        </w:tc>
        <w:tc>
          <w:tcPr>
            <w:tcW w:w="6777" w:type="dxa"/>
            <w:tcMar>
              <w:top w:w="60" w:type="dxa"/>
              <w:left w:w="120" w:type="dxa"/>
              <w:bottom w:w="30" w:type="dxa"/>
              <w:right w:w="120" w:type="dxa"/>
            </w:tcMar>
          </w:tcPr>
          <w:p w14:paraId="3F0B6C7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作业台接地端子松动，接地电阻实测＞1Ω</w:t>
            </w:r>
          </w:p>
        </w:tc>
      </w:tr>
      <w:tr w14:paraId="7A59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9DED6C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NCR002</w:t>
            </w:r>
          </w:p>
        </w:tc>
        <w:tc>
          <w:tcPr>
            <w:tcW w:w="6777" w:type="dxa"/>
            <w:tcMar>
              <w:top w:w="60" w:type="dxa"/>
              <w:left w:w="120" w:type="dxa"/>
              <w:bottom w:w="30" w:type="dxa"/>
              <w:right w:w="120" w:type="dxa"/>
            </w:tcMar>
          </w:tcPr>
          <w:p w14:paraId="45340E7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设备多点接地，存在电位差与地环流干扰</w:t>
            </w:r>
          </w:p>
        </w:tc>
      </w:tr>
      <w:tr w14:paraId="21E5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8636C9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NCR003</w:t>
            </w:r>
          </w:p>
        </w:tc>
        <w:tc>
          <w:tcPr>
            <w:tcW w:w="6777" w:type="dxa"/>
            <w:tcMar>
              <w:top w:w="60" w:type="dxa"/>
              <w:left w:w="120" w:type="dxa"/>
              <w:bottom w:w="30" w:type="dxa"/>
              <w:right w:w="120" w:type="dxa"/>
            </w:tcMar>
          </w:tcPr>
          <w:p w14:paraId="3A44200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人体接地与设备接地混接，分区不规范</w:t>
            </w:r>
          </w:p>
        </w:tc>
      </w:tr>
      <w:tr w14:paraId="583E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098266E">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NCR004</w:t>
            </w:r>
          </w:p>
        </w:tc>
        <w:tc>
          <w:tcPr>
            <w:tcW w:w="6777" w:type="dxa"/>
            <w:tcMar>
              <w:top w:w="60" w:type="dxa"/>
              <w:left w:w="120" w:type="dxa"/>
              <w:bottom w:w="30" w:type="dxa"/>
              <w:right w:w="120" w:type="dxa"/>
            </w:tcMar>
          </w:tcPr>
          <w:p w14:paraId="48FFB50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法拉第屏蔽测试工装无独立专用接地</w:t>
            </w:r>
          </w:p>
        </w:tc>
      </w:tr>
      <w:tr w14:paraId="6553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9C8132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NCR005</w:t>
            </w:r>
          </w:p>
        </w:tc>
        <w:tc>
          <w:tcPr>
            <w:tcW w:w="6777" w:type="dxa"/>
            <w:tcMar>
              <w:top w:w="60" w:type="dxa"/>
              <w:left w:w="120" w:type="dxa"/>
              <w:bottom w:w="30" w:type="dxa"/>
              <w:right w:w="120" w:type="dxa"/>
            </w:tcMar>
          </w:tcPr>
          <w:p w14:paraId="598AADB7">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接地线绝缘层老化破皮、线缆开裂</w:t>
            </w:r>
          </w:p>
        </w:tc>
      </w:tr>
      <w:tr w14:paraId="73D7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C03150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NCR006</w:t>
            </w:r>
          </w:p>
        </w:tc>
        <w:tc>
          <w:tcPr>
            <w:tcW w:w="6777" w:type="dxa"/>
            <w:tcMar>
              <w:top w:w="60" w:type="dxa"/>
              <w:left w:w="120" w:type="dxa"/>
              <w:bottom w:w="30" w:type="dxa"/>
              <w:right w:w="120" w:type="dxa"/>
            </w:tcMar>
          </w:tcPr>
          <w:p w14:paraId="0EF8B74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接地汇流铜排氧化发黑，导通电阻超标</w:t>
            </w:r>
          </w:p>
        </w:tc>
      </w:tr>
      <w:tr w14:paraId="00E5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90C78D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NCR007</w:t>
            </w:r>
          </w:p>
        </w:tc>
        <w:tc>
          <w:tcPr>
            <w:tcW w:w="6777" w:type="dxa"/>
            <w:tcMar>
              <w:top w:w="60" w:type="dxa"/>
              <w:left w:w="120" w:type="dxa"/>
              <w:bottom w:w="30" w:type="dxa"/>
              <w:right w:w="120" w:type="dxa"/>
            </w:tcMar>
          </w:tcPr>
          <w:p w14:paraId="3B29F30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设备防静电绝缘脚垫缺失，机身直接触地</w:t>
            </w:r>
          </w:p>
        </w:tc>
      </w:tr>
      <w:tr w14:paraId="6274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AD49BD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NCR008</w:t>
            </w:r>
          </w:p>
        </w:tc>
        <w:tc>
          <w:tcPr>
            <w:tcW w:w="6777" w:type="dxa"/>
            <w:tcMar>
              <w:top w:w="60" w:type="dxa"/>
              <w:left w:w="120" w:type="dxa"/>
              <w:bottom w:w="30" w:type="dxa"/>
              <w:right w:w="120" w:type="dxa"/>
            </w:tcMar>
          </w:tcPr>
          <w:p w14:paraId="2F682AE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接地点无可视化功能标识，无法区分接地类型</w:t>
            </w:r>
          </w:p>
        </w:tc>
      </w:tr>
      <w:tr w14:paraId="21D4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6F8AFC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NCR009</w:t>
            </w:r>
          </w:p>
        </w:tc>
        <w:tc>
          <w:tcPr>
            <w:tcW w:w="6777" w:type="dxa"/>
            <w:tcMar>
              <w:top w:w="60" w:type="dxa"/>
              <w:left w:w="120" w:type="dxa"/>
              <w:bottom w:w="30" w:type="dxa"/>
              <w:right w:w="120" w:type="dxa"/>
            </w:tcMar>
          </w:tcPr>
          <w:p w14:paraId="6D30EF77">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新增生产设备未做 ESD 接地验收直接投产</w:t>
            </w:r>
          </w:p>
        </w:tc>
      </w:tr>
      <w:tr w14:paraId="2984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204B7CE">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NCR010</w:t>
            </w:r>
          </w:p>
        </w:tc>
        <w:tc>
          <w:tcPr>
            <w:tcW w:w="6777" w:type="dxa"/>
            <w:tcMar>
              <w:top w:w="60" w:type="dxa"/>
              <w:left w:w="120" w:type="dxa"/>
              <w:bottom w:w="30" w:type="dxa"/>
              <w:right w:w="120" w:type="dxa"/>
            </w:tcMar>
          </w:tcPr>
          <w:p w14:paraId="493E399E">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仓库静电防护区金属货架未做接地处理</w:t>
            </w:r>
          </w:p>
        </w:tc>
      </w:tr>
      <w:tr w14:paraId="6C4F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B8FCEB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NCR011</w:t>
            </w:r>
          </w:p>
        </w:tc>
        <w:tc>
          <w:tcPr>
            <w:tcW w:w="6777" w:type="dxa"/>
            <w:tcMar>
              <w:top w:w="60" w:type="dxa"/>
              <w:left w:w="120" w:type="dxa"/>
              <w:bottom w:w="30" w:type="dxa"/>
              <w:right w:w="120" w:type="dxa"/>
            </w:tcMar>
          </w:tcPr>
          <w:p w14:paraId="644C171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物料周转车金属框架未接地、无防静电轮</w:t>
            </w:r>
          </w:p>
        </w:tc>
      </w:tr>
      <w:tr w14:paraId="27AA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B2B28C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NCR012</w:t>
            </w:r>
          </w:p>
        </w:tc>
        <w:tc>
          <w:tcPr>
            <w:tcW w:w="6777" w:type="dxa"/>
            <w:tcMar>
              <w:top w:w="60" w:type="dxa"/>
              <w:left w:w="120" w:type="dxa"/>
              <w:bottom w:w="30" w:type="dxa"/>
              <w:right w:w="120" w:type="dxa"/>
            </w:tcMar>
          </w:tcPr>
          <w:p w14:paraId="2D0D9EE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精密测试仪器与工装非等电位接地</w:t>
            </w:r>
          </w:p>
        </w:tc>
      </w:tr>
      <w:tr w14:paraId="07C9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5EFA2B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NCR013</w:t>
            </w:r>
          </w:p>
        </w:tc>
        <w:tc>
          <w:tcPr>
            <w:tcW w:w="6777" w:type="dxa"/>
            <w:tcMar>
              <w:top w:w="60" w:type="dxa"/>
              <w:left w:w="120" w:type="dxa"/>
              <w:bottom w:w="30" w:type="dxa"/>
              <w:right w:w="120" w:type="dxa"/>
            </w:tcMar>
          </w:tcPr>
          <w:p w14:paraId="5119720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缺失季度接地电阻复测记录，无追溯性</w:t>
            </w:r>
          </w:p>
        </w:tc>
      </w:tr>
      <w:tr w14:paraId="5A35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925C81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NCR014</w:t>
            </w:r>
          </w:p>
        </w:tc>
        <w:tc>
          <w:tcPr>
            <w:tcW w:w="6777" w:type="dxa"/>
            <w:tcMar>
              <w:top w:w="60" w:type="dxa"/>
              <w:left w:w="120" w:type="dxa"/>
              <w:bottom w:w="30" w:type="dxa"/>
              <w:right w:w="120" w:type="dxa"/>
            </w:tcMar>
          </w:tcPr>
          <w:p w14:paraId="16E3847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接地固定螺丝锈蚀，导致接触电阻偏大</w:t>
            </w:r>
          </w:p>
        </w:tc>
      </w:tr>
      <w:tr w14:paraId="040E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48A1A8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NCR015</w:t>
            </w:r>
          </w:p>
        </w:tc>
        <w:tc>
          <w:tcPr>
            <w:tcW w:w="6777" w:type="dxa"/>
            <w:tcMar>
              <w:top w:w="60" w:type="dxa"/>
              <w:left w:w="120" w:type="dxa"/>
              <w:bottom w:w="30" w:type="dxa"/>
              <w:right w:w="120" w:type="dxa"/>
            </w:tcMar>
          </w:tcPr>
          <w:p w14:paraId="341BADC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违规使用普通临时线缆替代标准专用接地线</w:t>
            </w:r>
          </w:p>
        </w:tc>
      </w:tr>
      <w:tr w14:paraId="3ED4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9EB9CF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NCR016</w:t>
            </w:r>
          </w:p>
        </w:tc>
        <w:tc>
          <w:tcPr>
            <w:tcW w:w="6777" w:type="dxa"/>
            <w:tcMar>
              <w:top w:w="60" w:type="dxa"/>
              <w:left w:w="120" w:type="dxa"/>
              <w:bottom w:w="30" w:type="dxa"/>
              <w:right w:w="120" w:type="dxa"/>
            </w:tcMar>
          </w:tcPr>
          <w:p w14:paraId="7B8DBA0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法拉第屏蔽箱体拼接缝隙未密封，电场泄漏</w:t>
            </w:r>
          </w:p>
        </w:tc>
      </w:tr>
      <w:tr w14:paraId="27D2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6B2CB2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NCR017</w:t>
            </w:r>
          </w:p>
        </w:tc>
        <w:tc>
          <w:tcPr>
            <w:tcW w:w="6777" w:type="dxa"/>
            <w:tcMar>
              <w:top w:w="60" w:type="dxa"/>
              <w:left w:w="120" w:type="dxa"/>
              <w:bottom w:w="30" w:type="dxa"/>
              <w:right w:w="120" w:type="dxa"/>
            </w:tcMar>
          </w:tcPr>
          <w:p w14:paraId="0CDDC43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15pF 测试探头屏蔽层未做 360° 接地，信号干扰大</w:t>
            </w:r>
          </w:p>
        </w:tc>
      </w:tr>
      <w:tr w14:paraId="6F16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063681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NCR018</w:t>
            </w:r>
          </w:p>
        </w:tc>
        <w:tc>
          <w:tcPr>
            <w:tcW w:w="6777" w:type="dxa"/>
            <w:tcMar>
              <w:top w:w="60" w:type="dxa"/>
              <w:left w:w="120" w:type="dxa"/>
              <w:bottom w:w="30" w:type="dxa"/>
              <w:right w:w="120" w:type="dxa"/>
            </w:tcMar>
          </w:tcPr>
          <w:p w14:paraId="2DD466C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测试工装存在多余接地点，引发地环路干扰</w:t>
            </w:r>
          </w:p>
        </w:tc>
      </w:tr>
      <w:tr w14:paraId="5C5C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95EEF07">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NCR019</w:t>
            </w:r>
          </w:p>
        </w:tc>
        <w:tc>
          <w:tcPr>
            <w:tcW w:w="6777" w:type="dxa"/>
            <w:tcMar>
              <w:top w:w="60" w:type="dxa"/>
              <w:left w:w="120" w:type="dxa"/>
              <w:bottom w:w="30" w:type="dxa"/>
              <w:right w:w="120" w:type="dxa"/>
            </w:tcMar>
          </w:tcPr>
          <w:p w14:paraId="01EFFAB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接地电阻测试仪超校准有效期，测试数据无效</w:t>
            </w:r>
          </w:p>
        </w:tc>
      </w:tr>
      <w:tr w14:paraId="777D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62B982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NCR020</w:t>
            </w:r>
          </w:p>
        </w:tc>
        <w:tc>
          <w:tcPr>
            <w:tcW w:w="6777" w:type="dxa"/>
            <w:tcMar>
              <w:top w:w="60" w:type="dxa"/>
              <w:left w:w="120" w:type="dxa"/>
              <w:bottom w:w="30" w:type="dxa"/>
              <w:right w:w="120" w:type="dxa"/>
            </w:tcMar>
          </w:tcPr>
          <w:p w14:paraId="2EE2833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静电接地线与动力电源线捆绑走线，电磁干扰超标</w:t>
            </w:r>
          </w:p>
        </w:tc>
      </w:tr>
    </w:tbl>
    <w:p w14:paraId="12E53EB8">
      <w:pPr>
        <w:pStyle w:val="4"/>
        <w:keepNext w:val="0"/>
        <w:keepLines w:val="0"/>
        <w:pageBreakBefore w:val="0"/>
        <w:widowControl/>
        <w:kinsoku/>
        <w:wordWrap/>
        <w:overflowPunct/>
        <w:topLinePunct w:val="0"/>
        <w:autoSpaceDE/>
        <w:autoSpaceDN/>
        <w:bidi w:val="0"/>
        <w:adjustRightInd w:val="0"/>
        <w:snapToGrid w:val="0"/>
        <w:spacing w:line="120" w:lineRule="auto"/>
        <w:textAlignment w:val="auto"/>
        <w:rPr>
          <w:rFonts w:hint="eastAsia" w:ascii="宋体" w:hAnsi="宋体" w:eastAsia="宋体" w:cs="宋体"/>
          <w:color w:val="0000FF"/>
        </w:rPr>
      </w:pPr>
    </w:p>
    <w:p w14:paraId="6880778E">
      <w:pPr>
        <w:pStyle w:val="4"/>
        <w:keepNext w:val="0"/>
        <w:keepLines w:val="0"/>
        <w:pageBreakBefore w:val="0"/>
        <w:widowControl/>
        <w:kinsoku/>
        <w:wordWrap/>
        <w:overflowPunct/>
        <w:topLinePunct w:val="0"/>
        <w:autoSpaceDE/>
        <w:autoSpaceDN/>
        <w:bidi w:val="0"/>
        <w:adjustRightInd w:val="0"/>
        <w:snapToGrid w:val="0"/>
        <w:spacing w:line="120" w:lineRule="auto"/>
        <w:textAlignment w:val="auto"/>
        <w:rPr>
          <w:rFonts w:hint="eastAsia" w:ascii="宋体" w:hAnsi="宋体" w:eastAsia="宋体" w:cs="宋体"/>
          <w:color w:val="0000FF"/>
        </w:rPr>
      </w:pPr>
    </w:p>
    <w:p w14:paraId="4346C77B">
      <w:pPr>
        <w:pStyle w:val="4"/>
        <w:keepNext w:val="0"/>
        <w:keepLines w:val="0"/>
        <w:pageBreakBefore w:val="0"/>
        <w:widowControl/>
        <w:kinsoku/>
        <w:wordWrap/>
        <w:overflowPunct/>
        <w:topLinePunct w:val="0"/>
        <w:autoSpaceDE/>
        <w:autoSpaceDN/>
        <w:bidi w:val="0"/>
        <w:adjustRightInd w:val="0"/>
        <w:snapToGrid w:val="0"/>
        <w:spacing w:line="120" w:lineRule="auto"/>
        <w:textAlignment w:val="auto"/>
        <w:rPr>
          <w:rFonts w:hint="eastAsia" w:ascii="宋体" w:hAnsi="宋体" w:eastAsia="宋体" w:cs="宋体"/>
          <w:color w:val="0000FF"/>
        </w:rPr>
      </w:pPr>
    </w:p>
    <w:p w14:paraId="76F92F81">
      <w:pPr>
        <w:pStyle w:val="4"/>
        <w:keepNext w:val="0"/>
        <w:keepLines w:val="0"/>
        <w:pageBreakBefore w:val="0"/>
        <w:widowControl/>
        <w:kinsoku/>
        <w:wordWrap/>
        <w:overflowPunct/>
        <w:topLinePunct w:val="0"/>
        <w:autoSpaceDE/>
        <w:autoSpaceDN/>
        <w:bidi w:val="0"/>
        <w:adjustRightInd w:val="0"/>
        <w:snapToGrid w:val="0"/>
        <w:spacing w:line="120" w:lineRule="auto"/>
        <w:textAlignment w:val="auto"/>
        <w:rPr>
          <w:rFonts w:hint="eastAsia" w:ascii="宋体" w:hAnsi="宋体" w:eastAsia="宋体" w:cs="宋体"/>
          <w:color w:val="0000FF"/>
        </w:rPr>
      </w:pPr>
    </w:p>
    <w:p w14:paraId="0B43D3C9">
      <w:pPr>
        <w:pStyle w:val="4"/>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FF"/>
        </w:rPr>
      </w:pPr>
      <w:r>
        <w:rPr>
          <w:rFonts w:hint="eastAsia" w:ascii="宋体" w:hAnsi="宋体" w:eastAsia="宋体" w:cs="宋体"/>
          <w:color w:val="0000FF"/>
        </w:rPr>
        <w:t>模块二：EPA 静电防护区域类（NCR021-NCR040，共 20 条）</w:t>
      </w:r>
    </w:p>
    <w:tbl>
      <w:tblPr>
        <w:tblStyle w:val="7"/>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6764"/>
      </w:tblGrid>
      <w:tr w14:paraId="500B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17E245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编号</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DE4CC7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标题</w:t>
            </w:r>
          </w:p>
        </w:tc>
      </w:tr>
      <w:tr w14:paraId="5694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53AE70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NCR021</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F7512F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区域边界未设置标准化静电警示标识</w:t>
            </w:r>
          </w:p>
        </w:tc>
      </w:tr>
      <w:tr w14:paraId="7940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8B1D74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NCR022</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59DFDA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与非 EPA 区域无物理隔离，人员物料混流作业</w:t>
            </w:r>
          </w:p>
        </w:tc>
      </w:tr>
      <w:tr w14:paraId="5E03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2723C5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NCR023</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0FD356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区域未定时记录温湿度，现场湿度低于 45% RH</w:t>
            </w:r>
          </w:p>
        </w:tc>
      </w:tr>
      <w:tr w14:paraId="6194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41A514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NCR024</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7DF89C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工位摆放普通塑料水杯等高危绝缘违禁物品</w:t>
            </w:r>
          </w:p>
        </w:tc>
      </w:tr>
      <w:tr w14:paraId="70B0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3F2BA9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NCR025</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18FA24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高精密洁净作业工位未配置离子静电中和设备</w:t>
            </w:r>
          </w:p>
        </w:tc>
      </w:tr>
      <w:tr w14:paraId="3F1B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507180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NCR026</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E8103D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离子风机缺失日常点检记录与月度离子平衡度测试记录</w:t>
            </w:r>
          </w:p>
        </w:tc>
      </w:tr>
      <w:tr w14:paraId="205D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D086EE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NCR027</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BFC7987">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区域违规堆放普通纸箱、泡沫绝缘包装物料</w:t>
            </w:r>
          </w:p>
        </w:tc>
      </w:tr>
      <w:tr w14:paraId="36B0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C577B6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NCR028</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AE2F7F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区域入口未设置人员 ESD 防护穿戴核查机制</w:t>
            </w:r>
          </w:p>
        </w:tc>
      </w:tr>
      <w:tr w14:paraId="0372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85DAC4E">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NCR029</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AE695D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防静电地坪局部磨损露底，表面电阻实测超标</w:t>
            </w:r>
          </w:p>
        </w:tc>
      </w:tr>
      <w:tr w14:paraId="5B56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CC02AA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NCR030</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2943A6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防静电台垫破损开裂，局部绝缘裸露</w:t>
            </w:r>
          </w:p>
        </w:tc>
      </w:tr>
      <w:tr w14:paraId="4764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322482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NCR031</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684460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区域分区标识脱落、褪色、模糊不清</w:t>
            </w:r>
          </w:p>
        </w:tc>
      </w:tr>
      <w:tr w14:paraId="6825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37FB7D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NCR032</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416BB5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洁净工位离子风机安装位置不合理，中和距离超标</w:t>
            </w:r>
          </w:p>
        </w:tc>
      </w:tr>
      <w:tr w14:paraId="77BA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FB5DE6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NCR033</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FE8DE8E">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区域未设置专用静电泄放警示区域</w:t>
            </w:r>
          </w:p>
        </w:tc>
      </w:tr>
      <w:tr w14:paraId="4C14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CF5144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NCR034</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406D25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现场使用普通清洁工具清扫 EPA 防静电地面</w:t>
            </w:r>
          </w:p>
        </w:tc>
      </w:tr>
      <w:tr w14:paraId="331E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6E36CDE">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NCR035</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208EF9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区域局部工位静电电压实测超过安全阈值</w:t>
            </w:r>
          </w:p>
        </w:tc>
      </w:tr>
      <w:tr w14:paraId="7601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1CF2F9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NCR036</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44A148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消防栓嵌入 EPA 区域，未做防静电隔离处理</w:t>
            </w:r>
          </w:p>
        </w:tc>
      </w:tr>
      <w:tr w14:paraId="31BC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FC173C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NCR037</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569718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车间立柱跨越 EPA 与非 EPA 分区，未做边界划分</w:t>
            </w:r>
          </w:p>
        </w:tc>
      </w:tr>
      <w:tr w14:paraId="4422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861E8E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NCR038</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37BDD9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区域应急逃生通道堆放静电敏感物料</w:t>
            </w:r>
          </w:p>
        </w:tc>
      </w:tr>
      <w:tr w14:paraId="5336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D58E24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NCR039</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3A0DA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防静电地坪未定期保养，局部存在导电污染</w:t>
            </w:r>
          </w:p>
        </w:tc>
      </w:tr>
      <w:tr w14:paraId="253C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660AF0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NCR040</w:t>
            </w:r>
          </w:p>
        </w:tc>
        <w:tc>
          <w:tcPr>
            <w:tcW w:w="676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0F51B7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区域温湿度计校准标签模糊，无法验证有效性</w:t>
            </w:r>
          </w:p>
        </w:tc>
      </w:tr>
    </w:tbl>
    <w:p w14:paraId="6373A715">
      <w:pPr>
        <w:pStyle w:val="4"/>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FF"/>
        </w:rPr>
      </w:pPr>
      <w:r>
        <w:rPr>
          <w:rFonts w:hint="eastAsia" w:ascii="宋体" w:hAnsi="宋体" w:eastAsia="宋体" w:cs="宋体"/>
          <w:color w:val="0000FF"/>
        </w:rPr>
        <w:t>模块三：检测仪器校准与设备管控类（NCR041-NCR055，共 15 条）</w:t>
      </w:r>
    </w:p>
    <w:p w14:paraId="1D862334">
      <w:pPr>
        <w:pStyle w:val="10"/>
        <w:keepNext w:val="0"/>
        <w:keepLines w:val="0"/>
        <w:pageBreakBefore w:val="0"/>
        <w:widowControl/>
        <w:kinsoku/>
        <w:wordWrap/>
        <w:overflowPunct/>
        <w:topLinePunct w:val="0"/>
        <w:autoSpaceDE/>
        <w:autoSpaceDN/>
        <w:bidi w:val="0"/>
        <w:adjustRightInd w:val="0"/>
        <w:snapToGrid w:val="0"/>
        <w:spacing w:line="120" w:lineRule="auto"/>
        <w:textAlignment w:val="auto"/>
        <w:rPr>
          <w:rFonts w:hint="eastAsia" w:ascii="宋体" w:hAnsi="宋体" w:eastAsia="宋体" w:cs="宋体"/>
        </w:rPr>
      </w:pPr>
    </w:p>
    <w:tbl>
      <w:tblPr>
        <w:tblStyle w:val="7"/>
        <w:tblW w:w="9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6542"/>
      </w:tblGrid>
      <w:tr w14:paraId="16B4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C8F055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编号</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D1B638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标题</w:t>
            </w:r>
          </w:p>
        </w:tc>
      </w:tr>
      <w:tr w14:paraId="2340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0F39C0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NCR041</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0E4DC7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表面电阻测试仪超校准有效期，无有效校准证书</w:t>
            </w:r>
          </w:p>
        </w:tc>
      </w:tr>
      <w:tr w14:paraId="49B6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283682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NCR042</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3C688E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静电电压测试仪探头磨损，测试精度不符合要求</w:t>
            </w:r>
          </w:p>
        </w:tc>
      </w:tr>
      <w:tr w14:paraId="2AE2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6240EAE">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NCR043</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96C1F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离子风机平衡度测试记录未包含实际测试偏移数据</w:t>
            </w:r>
          </w:p>
        </w:tc>
      </w:tr>
      <w:tr w14:paraId="7347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EF5535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NCR044</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EE4363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精密测试设备未设置防静电屏蔽罩，易受干扰</w:t>
            </w:r>
          </w:p>
        </w:tc>
      </w:tr>
      <w:tr w14:paraId="195E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7A6645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NCR045</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19305D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接地电阻测试仪配套测试线绝缘层开裂，存在安全隐患</w:t>
            </w:r>
          </w:p>
        </w:tc>
      </w:tr>
      <w:tr w14:paraId="2025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DE8CFF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NCR046</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A87758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测试工装夹具未纳入 ESD 管控台账，无定期检测记录</w:t>
            </w:r>
          </w:p>
        </w:tc>
      </w:tr>
      <w:tr w14:paraId="7ED8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604644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NCR047</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6E8AA9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静电衰减性能测试仪未开展期间核查，数据可信度不足</w:t>
            </w:r>
          </w:p>
        </w:tc>
      </w:tr>
      <w:tr w14:paraId="7F51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B63013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NCR048</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C083BB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检测仪器校准证书缺少 CNAS 认可标识，无效追溯依据</w:t>
            </w:r>
          </w:p>
        </w:tc>
      </w:tr>
      <w:tr w14:paraId="19DE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DAB6E8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NCR049</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F5C342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测试工作台面安装的插座未与设备接地连通</w:t>
            </w:r>
          </w:p>
        </w:tc>
      </w:tr>
      <w:tr w14:paraId="3295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B817D9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NCR050</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AB76E8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离子风机测试记录未标注环境温湿度条件，数据无参考性</w:t>
            </w:r>
          </w:p>
        </w:tc>
      </w:tr>
      <w:tr w14:paraId="2BC0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88452D7">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NCR051</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B4682C7">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仪器校准合格标签随意粘贴，未标注校准有效期</w:t>
            </w:r>
          </w:p>
        </w:tc>
      </w:tr>
      <w:tr w14:paraId="7AC7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4F8DB5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NCR052</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7A7C99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现场使用的静电场测试仪未在计量机构溯源名录内</w:t>
            </w:r>
          </w:p>
        </w:tc>
      </w:tr>
      <w:tr w14:paraId="40E2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0E9A32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NCR053</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232087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测试设备未做接地导通电阻复测，无验收记录</w:t>
            </w:r>
          </w:p>
        </w:tc>
      </w:tr>
      <w:tr w14:paraId="6232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23C833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NCR054</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71AADF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防静电鞋测试仪长期闲置，未定期校准验证</w:t>
            </w:r>
          </w:p>
        </w:tc>
      </w:tr>
      <w:tr w14:paraId="76A6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BC4B37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NCR055</w:t>
            </w:r>
          </w:p>
        </w:tc>
        <w:tc>
          <w:tcPr>
            <w:tcW w:w="654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A64776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检测仪器缺失使用状态标识，无法区分合格 / 不合格状态</w:t>
            </w:r>
          </w:p>
        </w:tc>
      </w:tr>
    </w:tbl>
    <w:p w14:paraId="75EE634A">
      <w:pPr>
        <w:pStyle w:val="4"/>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FF"/>
        </w:rPr>
      </w:pPr>
      <w:r>
        <w:rPr>
          <w:rFonts w:hint="eastAsia" w:ascii="宋体" w:hAnsi="宋体" w:eastAsia="宋体" w:cs="宋体"/>
          <w:color w:val="0000FF"/>
        </w:rPr>
        <w:t>模块四：静电敏感物料包装与转运类（NCR056-NCR070，共 15 条）</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611"/>
        <w:gridCol w:w="5935"/>
      </w:tblGrid>
      <w:tr w14:paraId="076D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403CF9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编号</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A3A6A1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标题</w:t>
            </w:r>
          </w:p>
        </w:tc>
      </w:tr>
      <w:tr w14:paraId="6D8F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BECF30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NCR056</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CB3827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静电敏感元器件使用普通塑料袋包装，无防静电屏蔽功能</w:t>
            </w:r>
          </w:p>
        </w:tc>
      </w:tr>
      <w:tr w14:paraId="52F6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35A334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NCR057</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7D5802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防静电屏蔽袋封口未采用专用封口机，密封不严</w:t>
            </w:r>
          </w:p>
        </w:tc>
      </w:tr>
      <w:tr w14:paraId="32B4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1056CB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NCR058</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1C2514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静电敏感物料周转时，包装开口未使用防静电胶带密封</w:t>
            </w:r>
          </w:p>
        </w:tc>
      </w:tr>
      <w:tr w14:paraId="69C7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409EE3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NCR059</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E33DB0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普通纸质包装箱直接接触堆叠静电敏感 PCBA 板</w:t>
            </w:r>
          </w:p>
        </w:tc>
      </w:tr>
      <w:tr w14:paraId="670C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24AE1F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NCR060</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F294FD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防静电周转箱表面磨损、发黑，静电衰减性能测试超标</w:t>
            </w:r>
          </w:p>
        </w:tc>
      </w:tr>
      <w:tr w14:paraId="48EF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49751A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NCR061</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9EF747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真空包装的静电敏感物料未贴 ESD 警示标识</w:t>
            </w:r>
          </w:p>
        </w:tc>
      </w:tr>
      <w:tr w14:paraId="554A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3ED809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NCR062</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90C77F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物料转运时，防静电托盘直接接触车辆金属底板</w:t>
            </w:r>
          </w:p>
        </w:tc>
      </w:tr>
      <w:tr w14:paraId="1A82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8D6087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NCR063</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DA0A12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现场使用的防静电气泡袋无 surface resistance 检测报告</w:t>
            </w:r>
          </w:p>
        </w:tc>
      </w:tr>
      <w:tr w14:paraId="74F8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C1171E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NCR064</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B6389C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静电敏感物料包装作业未在 EPA 工位完成</w:t>
            </w:r>
          </w:p>
        </w:tc>
      </w:tr>
      <w:tr w14:paraId="7CB0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4A31E1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NCR065</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E9A976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屏蔽袋尺寸偏大，物料在袋内晃动易产生摩擦静电</w:t>
            </w:r>
          </w:p>
        </w:tc>
      </w:tr>
      <w:tr w14:paraId="0AE2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4B9552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NCR066</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FBF1FE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防静电包装物料与普通绝缘物料混装转运</w:t>
            </w:r>
          </w:p>
        </w:tc>
      </w:tr>
      <w:tr w14:paraId="7211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AAD12F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NCR067</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6A5625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废弃防静电屏蔽袋随意堆放，与普通垃圾混合</w:t>
            </w:r>
          </w:p>
        </w:tc>
      </w:tr>
      <w:tr w14:paraId="459B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B31CB0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NCR068</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FA9012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静电敏感物料周转箱未加盖防静电盖子，敞口转运</w:t>
            </w:r>
          </w:p>
        </w:tc>
      </w:tr>
      <w:tr w14:paraId="3561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4C188C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NCR069</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3D859B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包装作业人员未戴防静电手套，直接接触屏蔽袋内层</w:t>
            </w:r>
          </w:p>
        </w:tc>
      </w:tr>
      <w:tr w14:paraId="0A28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6736E97">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NCR070</w:t>
            </w:r>
          </w:p>
        </w:tc>
        <w:tc>
          <w:tcPr>
            <w:tcW w:w="633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2B014E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防静电包装材料未纳入进货检验，无合格验证记录</w:t>
            </w:r>
          </w:p>
        </w:tc>
      </w:tr>
    </w:tbl>
    <w:p w14:paraId="4BB7566E">
      <w:pPr>
        <w:pStyle w:val="4"/>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FF"/>
        </w:rPr>
      </w:pPr>
      <w:r>
        <w:rPr>
          <w:rFonts w:hint="eastAsia" w:ascii="宋体" w:hAnsi="宋体" w:eastAsia="宋体" w:cs="宋体"/>
          <w:color w:val="0000FF"/>
        </w:rPr>
        <w:t>模块五：人员静电防护与作业规范类（NCR071-NCR085，共 15 条）</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615"/>
        <w:gridCol w:w="5931"/>
      </w:tblGrid>
      <w:tr w14:paraId="117F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2E9D70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编号</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0670E9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标题</w:t>
            </w:r>
          </w:p>
        </w:tc>
      </w:tr>
      <w:tr w14:paraId="067D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3150F1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NCR071</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C61DD4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作业人员未穿防静电工作服，直接在 EPA 工位作业</w:t>
            </w:r>
          </w:p>
        </w:tc>
      </w:tr>
      <w:tr w14:paraId="7A27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62FC1D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NCR072</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FD3541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作业人员戴普通橡胶手套接触静电敏感元器件</w:t>
            </w:r>
          </w:p>
        </w:tc>
      </w:tr>
      <w:tr w14:paraId="1761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C2C904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NCR073</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F25836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防静电手环佩戴不规范，金属触头未接触皮肤</w:t>
            </w:r>
          </w:p>
        </w:tc>
      </w:tr>
      <w:tr w14:paraId="5626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3064BA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NCR074</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3548F8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现场作业人员私自拆除防静电手环接地夹，未接地</w:t>
            </w:r>
          </w:p>
        </w:tc>
      </w:tr>
      <w:tr w14:paraId="1027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43968E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NCR075</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AACDE9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作业人员穿防静电工作服、普通绝缘鞋进入 EPA 区域</w:t>
            </w:r>
          </w:p>
        </w:tc>
      </w:tr>
      <w:tr w14:paraId="6E02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67E482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NCR076</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EACDCC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非 EPA 区域作业人员未经防护直接进入 EPA 工位取料</w:t>
            </w:r>
          </w:p>
        </w:tc>
      </w:tr>
      <w:tr w14:paraId="1E58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9FBE40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NCR077</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A0390E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防静电手环未做 daily 导通测试，无验证记录</w:t>
            </w:r>
          </w:p>
        </w:tc>
      </w:tr>
      <w:tr w14:paraId="3692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36E45B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NCR078</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38E59C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作业人员在 EPA 工位随意触摸敏感元器件引脚</w:t>
            </w:r>
          </w:p>
        </w:tc>
      </w:tr>
      <w:tr w14:paraId="4623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225161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NCR079</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38C379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人员跨越 EPA 区域接地线，未按规定从专用通道通行</w:t>
            </w:r>
          </w:p>
        </w:tc>
      </w:tr>
      <w:tr w14:paraId="4695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6AC401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NCR080</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6E34AB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防静电工鞋鞋底磨损，导电性能测试不达标</w:t>
            </w:r>
          </w:p>
        </w:tc>
      </w:tr>
      <w:tr w14:paraId="1D06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57DEF4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NCR081</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C81A6EC">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作业人员手腕有金属表带，未摘除直接接触产品</w:t>
            </w:r>
          </w:p>
        </w:tc>
      </w:tr>
      <w:tr w14:paraId="2BBB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3B0AB6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NCR082</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ED00C6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EPA 工位作业人员同时接触接地设备与非接地金属物品</w:t>
            </w:r>
          </w:p>
        </w:tc>
      </w:tr>
      <w:tr w14:paraId="03CA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477732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NCR083</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7FE4248">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新入职员工未接受 ESD 防护专项培训，直接上岗作业</w:t>
            </w:r>
          </w:p>
        </w:tc>
      </w:tr>
      <w:tr w14:paraId="6E12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E4A87A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NCR084</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D5D6AA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外来人员进入 EPA 区域未佩戴一次性防静电鞋套</w:t>
            </w:r>
          </w:p>
        </w:tc>
      </w:tr>
      <w:tr w14:paraId="28A2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E29B44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NCR085</w:t>
            </w:r>
          </w:p>
        </w:tc>
        <w:tc>
          <w:tcPr>
            <w:tcW w:w="63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C2409C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作业人员在 EPA 工位频繁使用普通塑料工具接触物料</w:t>
            </w:r>
          </w:p>
        </w:tc>
      </w:tr>
    </w:tbl>
    <w:p w14:paraId="7349EE49">
      <w:pPr>
        <w:pStyle w:val="4"/>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FF"/>
        </w:rPr>
      </w:pPr>
    </w:p>
    <w:p w14:paraId="2DC6470C">
      <w:pPr>
        <w:pStyle w:val="4"/>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FF"/>
        </w:rPr>
      </w:pPr>
      <w:r>
        <w:rPr>
          <w:rFonts w:hint="eastAsia" w:ascii="宋体" w:hAnsi="宋体" w:eastAsia="宋体" w:cs="宋体"/>
          <w:color w:val="0000FF"/>
        </w:rPr>
        <w:t>模块六：ESD 体系文件与记录管控类（NCR086-NCR100，共 15 条）</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94"/>
        <w:gridCol w:w="5952"/>
      </w:tblGrid>
      <w:tr w14:paraId="6E10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41EE03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编号</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B1E7C7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标题</w:t>
            </w:r>
          </w:p>
        </w:tc>
      </w:tr>
      <w:tr w14:paraId="0110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0642CD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NCR086</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4C4ED4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公司 ESD 防护程序文件未覆盖仓储 EPA 区域管控要求</w:t>
            </w:r>
          </w:p>
        </w:tc>
      </w:tr>
      <w:tr w14:paraId="4CCD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1418DE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NCR087</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A0DB03A">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ESD 风险评估报告未包含精密测试设备的静电防控内容</w:t>
            </w:r>
          </w:p>
        </w:tc>
      </w:tr>
      <w:tr w14:paraId="3DED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D1E8A1E">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NCR088</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74D0E7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缺少 ESD 防护工裝、設備清單，台账不完整</w:t>
            </w:r>
          </w:p>
        </w:tc>
      </w:tr>
      <w:tr w14:paraId="517C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58AA6A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NCR089</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3B4BE0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ESD 稽核检查表未按 ANSI/ESD S20.20-2021 标准更新</w:t>
            </w:r>
          </w:p>
        </w:tc>
      </w:tr>
      <w:tr w14:paraId="1859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9E7BF10">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NCR090</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62259C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无 ESD 内部审核年度计划，上年度内审记录缺失</w:t>
            </w:r>
          </w:p>
        </w:tc>
      </w:tr>
      <w:tr w14:paraId="7382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52245C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NCR091</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59191D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内审发现的 ESD 不符合项未提交 8D 整改报告，未闭环</w:t>
            </w:r>
          </w:p>
        </w:tc>
      </w:tr>
      <w:tr w14:paraId="3AC9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43A254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NCR092</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0B2EDE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ESD 作业指导书未明确离子风机日常点检的操作标准</w:t>
            </w:r>
          </w:p>
        </w:tc>
      </w:tr>
      <w:tr w14:paraId="26B5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BA2A51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NCR093</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DDE64A6">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所有 ESD 检测记录未标注检测时的环境温湿度条件</w:t>
            </w:r>
          </w:p>
        </w:tc>
      </w:tr>
      <w:tr w14:paraId="4CE0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44FDCF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NCR094</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24F348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ESD 管理手册未明确 EPA 区域划分的依据和标准</w:t>
            </w:r>
          </w:p>
        </w:tc>
      </w:tr>
      <w:tr w14:paraId="7B06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73D91C4">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NCR095</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7DE737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缺少 ESD 防护设备校准计划，无定期校准作业安排</w:t>
            </w:r>
          </w:p>
        </w:tc>
      </w:tr>
      <w:tr w14:paraId="72FF1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BD174F9">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NCR096</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E9842D1">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客户提出的 ESD 相关变更要求未纳入文件评审更新</w:t>
            </w:r>
          </w:p>
        </w:tc>
      </w:tr>
      <w:tr w14:paraId="2A61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A0F899F">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NCR097</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6FC5C82">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ESD 培训记录缺少考核成绩，无法验证培训有效性</w:t>
            </w:r>
          </w:p>
        </w:tc>
      </w:tr>
      <w:tr w14:paraId="3164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876F15">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NCR098</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2E96B5B">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防静电设施维护保养计划未覆盖接地汇流排</w:t>
            </w:r>
          </w:p>
        </w:tc>
      </w:tr>
      <w:tr w14:paraId="13DB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E1FDEBD">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NCR099</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B998F07">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检测记录未设置填写人、审核人签字确认栏，追溯性不足</w:t>
            </w:r>
          </w:p>
        </w:tc>
      </w:tr>
      <w:tr w14:paraId="588D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99C2047">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NCR100</w:t>
            </w:r>
          </w:p>
        </w:tc>
        <w:tc>
          <w:tcPr>
            <w:tcW w:w="63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AF29373">
            <w:pPr>
              <w:pStyle w:val="10"/>
              <w:keepNext w:val="0"/>
              <w:keepLines w:val="0"/>
              <w:pageBreakBefore w:val="0"/>
              <w:widowControl/>
              <w:kinsoku/>
              <w:wordWrap/>
              <w:overflowPunct/>
              <w:topLinePunct w:val="0"/>
              <w:autoSpaceDE/>
              <w:autoSpaceDN/>
              <w:bidi w:val="0"/>
              <w:adjustRightInd w:val="0"/>
              <w:snapToGrid w:val="0"/>
              <w:spacing w:line="120" w:lineRule="auto"/>
              <w:jc w:val="center"/>
              <w:textAlignment w:val="auto"/>
              <w:rPr>
                <w:rFonts w:hint="eastAsia" w:ascii="宋体" w:hAnsi="宋体" w:eastAsia="宋体" w:cs="宋体"/>
              </w:rPr>
            </w:pPr>
            <w:r>
              <w:rPr>
                <w:rFonts w:hint="eastAsia" w:ascii="宋体" w:hAnsi="宋体" w:eastAsia="宋体" w:cs="宋体"/>
              </w:rPr>
              <w:t>ESD 体系文件未按最新 IEC 61340-5-1:2024 标准修订</w:t>
            </w:r>
          </w:p>
        </w:tc>
      </w:tr>
    </w:tbl>
    <w:p w14:paraId="452E74DB">
      <w:pPr>
        <w:pStyle w:val="10"/>
        <w:rPr>
          <w:rFonts w:hint="eastAsia" w:ascii="宋体" w:hAnsi="宋体" w:eastAsia="宋体" w:cs="宋体"/>
        </w:rPr>
      </w:pPr>
    </w:p>
    <w:p w14:paraId="69A92DB0">
      <w:pPr>
        <w:pStyle w:val="3"/>
        <w:keepNext w:val="0"/>
        <w:keepLines w:val="0"/>
        <w:widowControl/>
        <w:suppressLineNumbers w:val="0"/>
        <w:jc w:val="left"/>
        <w:rPr>
          <w:rFonts w:hint="eastAsia" w:ascii="宋体" w:hAnsi="宋体" w:eastAsia="宋体" w:cs="宋体"/>
        </w:rPr>
      </w:pPr>
    </w:p>
    <w:p w14:paraId="322D5A88">
      <w:pPr>
        <w:pStyle w:val="3"/>
        <w:keepNext w:val="0"/>
        <w:keepLines w:val="0"/>
        <w:widowControl/>
        <w:suppressLineNumbers w:val="0"/>
        <w:jc w:val="left"/>
        <w:rPr>
          <w:rFonts w:hint="eastAsia" w:ascii="宋体" w:hAnsi="宋体" w:eastAsia="宋体" w:cs="宋体"/>
        </w:rPr>
      </w:pPr>
    </w:p>
    <w:p w14:paraId="2ACD1C6D">
      <w:pPr>
        <w:rPr>
          <w:rFonts w:hint="eastAsia" w:ascii="宋体" w:hAnsi="宋体" w:eastAsia="宋体" w:cs="宋体"/>
        </w:rPr>
      </w:pPr>
    </w:p>
    <w:p w14:paraId="17CE8893">
      <w:pPr>
        <w:rPr>
          <w:rFonts w:hint="eastAsia" w:ascii="宋体" w:hAnsi="宋体" w:eastAsia="宋体" w:cs="宋体"/>
        </w:rPr>
      </w:pPr>
    </w:p>
    <w:p w14:paraId="0E4F1BE1">
      <w:pPr>
        <w:rPr>
          <w:rFonts w:hint="eastAsia" w:ascii="宋体" w:hAnsi="宋体" w:eastAsia="宋体" w:cs="宋体"/>
        </w:rPr>
      </w:pPr>
    </w:p>
    <w:p w14:paraId="637C9131">
      <w:pPr>
        <w:rPr>
          <w:rFonts w:hint="eastAsia" w:ascii="宋体" w:hAnsi="宋体" w:eastAsia="宋体" w:cs="宋体"/>
        </w:rPr>
      </w:pPr>
    </w:p>
    <w:p w14:paraId="2734A394">
      <w:pPr>
        <w:rPr>
          <w:rFonts w:hint="eastAsia" w:ascii="宋体" w:hAnsi="宋体" w:eastAsia="宋体" w:cs="宋体"/>
        </w:rPr>
      </w:pPr>
    </w:p>
    <w:p w14:paraId="340D254B">
      <w:pPr>
        <w:rPr>
          <w:rFonts w:hint="eastAsia" w:ascii="宋体" w:hAnsi="宋体" w:eastAsia="宋体" w:cs="宋体"/>
        </w:rPr>
      </w:pPr>
    </w:p>
    <w:p w14:paraId="4342F79C">
      <w:pPr>
        <w:rPr>
          <w:rFonts w:hint="eastAsia" w:ascii="宋体" w:hAnsi="宋体" w:eastAsia="宋体" w:cs="宋体"/>
        </w:rPr>
      </w:pPr>
    </w:p>
    <w:p w14:paraId="68FDB4BE">
      <w:pPr>
        <w:rPr>
          <w:rFonts w:hint="eastAsia" w:ascii="宋体" w:hAnsi="宋体" w:eastAsia="宋体" w:cs="宋体"/>
        </w:rPr>
      </w:pPr>
    </w:p>
    <w:p w14:paraId="7BB6D8D3">
      <w:pPr>
        <w:rPr>
          <w:rFonts w:hint="eastAsia" w:ascii="宋体" w:hAnsi="宋体" w:eastAsia="宋体" w:cs="宋体"/>
        </w:rPr>
      </w:pPr>
    </w:p>
    <w:p w14:paraId="255BB5E4">
      <w:pPr>
        <w:rPr>
          <w:rFonts w:hint="eastAsia" w:ascii="宋体" w:hAnsi="宋体" w:eastAsia="宋体" w:cs="宋体"/>
        </w:rPr>
      </w:pPr>
    </w:p>
    <w:p w14:paraId="643C4912">
      <w:pPr>
        <w:rPr>
          <w:rFonts w:hint="eastAsia" w:ascii="宋体" w:hAnsi="宋体" w:eastAsia="宋体" w:cs="宋体"/>
        </w:rPr>
      </w:pPr>
    </w:p>
    <w:p w14:paraId="6824110A">
      <w:pPr>
        <w:rPr>
          <w:rFonts w:hint="eastAsia" w:ascii="宋体" w:hAnsi="宋体" w:eastAsia="宋体" w:cs="宋体"/>
        </w:rPr>
      </w:pPr>
    </w:p>
    <w:p w14:paraId="6DD1498C">
      <w:pPr>
        <w:rPr>
          <w:rFonts w:hint="eastAsia" w:ascii="宋体" w:hAnsi="宋体" w:eastAsia="宋体" w:cs="宋体"/>
        </w:rPr>
      </w:pPr>
    </w:p>
    <w:p w14:paraId="424CC605">
      <w:pPr>
        <w:rPr>
          <w:rFonts w:hint="eastAsia" w:ascii="宋体" w:hAnsi="宋体" w:eastAsia="宋体" w:cs="宋体"/>
        </w:rPr>
      </w:pPr>
    </w:p>
    <w:p w14:paraId="16CC3C23">
      <w:pPr>
        <w:rPr>
          <w:rFonts w:hint="eastAsia" w:ascii="宋体" w:hAnsi="宋体" w:eastAsia="宋体" w:cs="宋体"/>
        </w:rPr>
      </w:pPr>
    </w:p>
    <w:p w14:paraId="19E831E0">
      <w:pPr>
        <w:rPr>
          <w:rFonts w:hint="eastAsia" w:ascii="宋体" w:hAnsi="宋体" w:eastAsia="宋体" w:cs="宋体"/>
        </w:rPr>
      </w:pPr>
    </w:p>
    <w:p w14:paraId="31555C5C">
      <w:pPr>
        <w:pStyle w:val="3"/>
        <w:keepNext w:val="0"/>
        <w:keepLines w:val="0"/>
        <w:widowControl/>
        <w:suppressLineNumbers w:val="0"/>
        <w:jc w:val="left"/>
        <w:rPr>
          <w:rFonts w:hint="eastAsia" w:ascii="宋体" w:hAnsi="宋体" w:eastAsia="宋体" w:cs="宋体"/>
        </w:rPr>
      </w:pPr>
      <w:r>
        <w:rPr>
          <w:rFonts w:hint="eastAsia" w:ascii="宋体" w:hAnsi="宋体" w:eastAsia="宋体" w:cs="宋体"/>
        </w:rPr>
        <w:t>模块一 接地系统类（NCR001–NCR020）</w:t>
      </w:r>
    </w:p>
    <w:p w14:paraId="7528B506">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【NCR001】工位接地端子松动</w:t>
      </w:r>
    </w:p>
    <w:p w14:paraId="64E1BC0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：现场稽核发现多个作业工位接地端子螺丝松动、接触不实，接地回路导通不稳定，人体、台面静电无法有效泄放，易产生静电累积及瞬时放电，损伤精密元器件。</w:t>
      </w:r>
    </w:p>
    <w:p w14:paraId="2B81F36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接地系统持续可靠导通要求</w:t>
      </w:r>
    </w:p>
    <w:p w14:paraId="1DB8FFE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静电接地装置完好性管控规范</w:t>
      </w:r>
    </w:p>
    <w:p w14:paraId="6F13E1C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3D68DA1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：立即对全车间工位接地端子逐一紧固、复测导通性能，对松动、虚接端子全部整改到位，临时落实班前接地目视检查，确保接地持续有效。</w:t>
      </w:r>
    </w:p>
    <w:p w14:paraId="79CBA02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设备长期振动作业导致接地螺丝自然松动，无周期性紧固点检机制；2. 工位日常点检仅关注表面卫生，忽略接地端子连接状态；3. 接地隐患风险宣导不足，员工未重视端子松动危害。</w:t>
      </w:r>
    </w:p>
    <w:p w14:paraId="4EF51AD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修订接地维保SOP，新增月度接地端子紧固、导通复测项目；2. 对所有接地螺丝加装防松垫片，杜绝振动松动问题；3. 将接地端子完好性纳入每日工位必查点检表。</w:t>
      </w:r>
    </w:p>
    <w:p w14:paraId="285ED68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：全车间接地端子全部紧固到位，导通电阻测试达标，接地回路稳定可靠，无虚接、松动现象。</w:t>
      </w:r>
    </w:p>
    <w:p w14:paraId="6BE517C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：常态化落实月度接地紧固维保、每日目视点检，定期抽样复测导通性能。</w:t>
      </w:r>
    </w:p>
    <w:p w14:paraId="7FA3524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：工位接地系统管控闭环，隐患清零，可结案。</w:t>
      </w:r>
    </w:p>
    <w:p w14:paraId="2913A72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接地端子松动属于典型的设备运维细节漏洞，静电防护的核心是可靠接地导通，端子虚接会导致接地电阻不稳定，静电泄放通道时通时断。作业过程中人体、台面、工装累积的静电无法及时释放，极易在接触元器件瞬间产生高压静电击穿，引发产品隐性失效、批次不良。该问题并非突发性故障，而是长期缺乏周期性维保、精细化点检导致的重复性隐患，暴露现场重生产、轻运维的管控短板。</w:t>
      </w:r>
    </w:p>
    <w:p w14:paraId="307BEF9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建立接地系统分级维保机制，工位端子月度紧固、季度全检、年度全面复测；2. 对接地点位统一做标识色标，便于快速目视排查松动、锈蚀问题；3. 将接地导通数据纳入车间ESD大数据管控，异常数据及时预警整改。</w:t>
      </w:r>
    </w:p>
    <w:p w14:paraId="09EAB6CC">
      <w:pPr>
        <w:pStyle w:val="4"/>
        <w:keepNext w:val="0"/>
        <w:keepLines w:val="0"/>
        <w:widowControl/>
        <w:suppressLineNumbers w:val="0"/>
        <w:jc w:val="left"/>
        <w:rPr>
          <w:rFonts w:hint="eastAsia" w:ascii="宋体" w:hAnsi="宋体" w:eastAsia="宋体" w:cs="宋体"/>
        </w:rPr>
      </w:pPr>
    </w:p>
    <w:p w14:paraId="4B149A2F">
      <w:pPr>
        <w:pStyle w:val="4"/>
        <w:keepNext w:val="0"/>
        <w:keepLines w:val="0"/>
        <w:widowControl/>
        <w:suppressLineNumbers w:val="0"/>
        <w:jc w:val="left"/>
        <w:rPr>
          <w:rFonts w:hint="eastAsia" w:ascii="宋体" w:hAnsi="宋体" w:eastAsia="宋体" w:cs="宋体"/>
        </w:rPr>
      </w:pPr>
    </w:p>
    <w:p w14:paraId="2B994D79">
      <w:pPr>
        <w:pStyle w:val="4"/>
        <w:keepNext w:val="0"/>
        <w:keepLines w:val="0"/>
        <w:widowControl/>
        <w:suppressLineNumbers w:val="0"/>
        <w:jc w:val="left"/>
        <w:rPr>
          <w:rFonts w:hint="eastAsia" w:ascii="宋体" w:hAnsi="宋体" w:eastAsia="宋体" w:cs="宋体"/>
        </w:rPr>
      </w:pPr>
    </w:p>
    <w:p w14:paraId="04CC9EAB">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【NCR002】设备多点接地产生电位差</w:t>
      </w:r>
    </w:p>
    <w:p w14:paraId="325FED3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：部分生产设备、测试治具存在多点分散接地情况，不同接地点位存在微小电位差，设备运行过程中产生电位漂移，易引发跨点位静电放电，威胁敏感物料安全。</w:t>
      </w:r>
    </w:p>
    <w:p w14:paraId="25CD27B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设备等电位接地管控要求</w:t>
      </w:r>
    </w:p>
    <w:p w14:paraId="3A80035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防静电设备等电位连接规范</w:t>
      </w:r>
    </w:p>
    <w:p w14:paraId="4250D2F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89AA72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：立即梳理设备多点接地点位，临时统一归并接地点，复测设备整体电位平衡，消除点位电位差，临时禁止多点分散接地模式。</w:t>
      </w:r>
    </w:p>
    <w:p w14:paraId="4E51DE5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设备安装接地无标准化规范，随意增设接地点，未做等电位统筹；2. 设备运维人员对等电位接地原理认知不足，盲目接地；3. 无接地布局审核机制，新增接地未合规校验。</w:t>
      </w:r>
    </w:p>
    <w:p w14:paraId="5DA8212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制定车间设备统一接地布局图，实行单机单点专用接地模式；2. 整改所有多点接地设备，统一归并至等电位接地铜排；3. 新增设备接地安装审核流程，杜绝违规多点接地。</w:t>
      </w:r>
    </w:p>
    <w:p w14:paraId="53C2C15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：所有设备均实现单点等电位接地，点位电位差归零，设备静电电位平衡稳定，无放电风险。</w:t>
      </w:r>
    </w:p>
    <w:p w14:paraId="5624546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：定期复测设备电位平衡，严格审核新增、改造设备接地方案。</w:t>
      </w:r>
    </w:p>
    <w:p w14:paraId="1B1AE16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：设备接地布局合规，电位差隐患清零，可结案。</w:t>
      </w:r>
    </w:p>
    <w:p w14:paraId="4C20D1E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多点接地电位差是工业ESD防护高频隐性隐患，极易被忽视。不同接地点存在接地电阻差异，会导致设备机体、工装产生电位偏移，当作业人员、物料跨电位接触时，会形成瞬时静电放电回路，造成元器件隐性击穿，不良品难以通过外观检测发现，易引发客户端质量投诉。问题根源为接地施工无标准、无审核、无校验，属于体系流程管控缺失导致的系统性隐患。</w:t>
      </w:r>
    </w:p>
    <w:p w14:paraId="3D1E9CF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绘制全厂ESD等电位接地布局总图，归档体系文件，作为设备接地施工唯一标准；2. 每季度开展一次设备电位差专项检测，建立电位数据台账；3. 针对设备运维、电工人员开展等电位接地专项培训，杜绝违规接地。</w:t>
      </w:r>
    </w:p>
    <w:p w14:paraId="0330A9D7">
      <w:pPr>
        <w:pStyle w:val="4"/>
        <w:keepNext w:val="0"/>
        <w:keepLines w:val="0"/>
        <w:widowControl/>
        <w:suppressLineNumbers w:val="0"/>
        <w:jc w:val="left"/>
        <w:rPr>
          <w:rFonts w:hint="eastAsia" w:ascii="宋体" w:hAnsi="宋体" w:eastAsia="宋体" w:cs="宋体"/>
        </w:rPr>
      </w:pPr>
    </w:p>
    <w:p w14:paraId="25DF1A4D">
      <w:pPr>
        <w:pStyle w:val="4"/>
        <w:keepNext w:val="0"/>
        <w:keepLines w:val="0"/>
        <w:widowControl/>
        <w:suppressLineNumbers w:val="0"/>
        <w:jc w:val="left"/>
        <w:rPr>
          <w:rFonts w:hint="eastAsia" w:ascii="宋体" w:hAnsi="宋体" w:eastAsia="宋体" w:cs="宋体"/>
        </w:rPr>
      </w:pPr>
    </w:p>
    <w:p w14:paraId="6EC81038">
      <w:pPr>
        <w:pStyle w:val="4"/>
        <w:keepNext w:val="0"/>
        <w:keepLines w:val="0"/>
        <w:widowControl/>
        <w:suppressLineNumbers w:val="0"/>
        <w:jc w:val="left"/>
        <w:rPr>
          <w:rFonts w:hint="eastAsia" w:ascii="宋体" w:hAnsi="宋体" w:eastAsia="宋体" w:cs="宋体"/>
        </w:rPr>
      </w:pPr>
    </w:p>
    <w:p w14:paraId="3A4BEE49">
      <w:pPr>
        <w:pStyle w:val="4"/>
        <w:keepNext w:val="0"/>
        <w:keepLines w:val="0"/>
        <w:widowControl/>
        <w:suppressLineNumbers w:val="0"/>
        <w:jc w:val="left"/>
        <w:rPr>
          <w:rFonts w:hint="eastAsia" w:ascii="宋体" w:hAnsi="宋体" w:eastAsia="宋体" w:cs="宋体"/>
        </w:rPr>
      </w:pPr>
    </w:p>
    <w:p w14:paraId="180CC69A">
      <w:pPr>
        <w:pStyle w:val="4"/>
        <w:keepNext w:val="0"/>
        <w:keepLines w:val="0"/>
        <w:widowControl/>
        <w:suppressLineNumbers w:val="0"/>
        <w:jc w:val="left"/>
        <w:rPr>
          <w:rFonts w:hint="eastAsia" w:ascii="宋体" w:hAnsi="宋体" w:eastAsia="宋体" w:cs="宋体"/>
        </w:rPr>
      </w:pPr>
    </w:p>
    <w:p w14:paraId="24815337">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【NCR003】人体与设备接地混接</w:t>
      </w:r>
    </w:p>
    <w:p w14:paraId="5D73E83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：现场发现部分工位人体防静电手环接地与设备金属外壳接地共用同一回路，人体静电与设备静电混泄，易产生电位干扰，引发静电反击放电。</w:t>
      </w:r>
    </w:p>
    <w:p w14:paraId="182F2C7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5.3 人体与设备接地回路隔离要求</w:t>
      </w:r>
    </w:p>
    <w:p w14:paraId="1F54C5E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5.3 差异化静电接地回路管控规范</w:t>
      </w:r>
    </w:p>
    <w:p w14:paraId="52C0086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5961F8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：立即拆分所有混接接地回路，临时区分人体接地、设备接地点位，确保回路独立隔离，复测接地性能合格后方可复工。</w:t>
      </w:r>
    </w:p>
    <w:p w14:paraId="6C66434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工位接地布线无分区隔离标准，回路设计不规范；2. 作业及运维人员不了解混接接地的静电反击风险；3. 日常巡检未核查接地回路布局合规性。</w:t>
      </w:r>
    </w:p>
    <w:p w14:paraId="4AEBE19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修订接地布线规范，明确人体防护接地、设备接地双回路独立隔离要求；2. 全域整改混接回路，统一标准化布线；3. 将接地回路隔离合规性纳入月度专项稽查。</w:t>
      </w:r>
    </w:p>
    <w:p w14:paraId="0E46084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：全厂工位接地回路完全隔离，人体、设备接地独立运行，无混接干扰，静电泄放稳定安全。</w:t>
      </w:r>
    </w:p>
    <w:p w14:paraId="00D9052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：新增工位布线严格执行双回路标准，定期核查回路隔离状态。</w:t>
      </w:r>
    </w:p>
    <w:p w14:paraId="771C94D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：接地回路布局合规，风险闭环，可结案。</w:t>
      </w:r>
    </w:p>
    <w:p w14:paraId="1C0DB05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人体与设备接地混接会导致静电泄放紊乱，设备运行产生的感应静电会反向传导至人体，造成人体电位升高，在接触低电位敏感元器件时发生反击放电，直接击穿芯片、电容等精密器件。该问题属于布线设计不规范、管控标准缺失导致的基础性ESD隐患，长期存在会持续产生隐性不良，影响产品良率。</w:t>
      </w:r>
    </w:p>
    <w:p w14:paraId="4B6D36A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采用颜色区分接地线路，人体接地、设备接地使用不同色系线缆，便于目视识别；2. 每个工位张贴接地回路示意图，规范布线标准；3. 新工位布线完成后必须经ESD专员验收合格方可投入使用。</w:t>
      </w:r>
    </w:p>
    <w:p w14:paraId="537D51F1">
      <w:pPr>
        <w:pStyle w:val="4"/>
        <w:keepNext w:val="0"/>
        <w:keepLines w:val="0"/>
        <w:widowControl/>
        <w:suppressLineNumbers w:val="0"/>
        <w:jc w:val="left"/>
        <w:rPr>
          <w:rFonts w:hint="eastAsia" w:ascii="宋体" w:hAnsi="宋体" w:eastAsia="宋体" w:cs="宋体"/>
        </w:rPr>
      </w:pPr>
    </w:p>
    <w:p w14:paraId="01063759">
      <w:pPr>
        <w:pStyle w:val="4"/>
        <w:keepNext w:val="0"/>
        <w:keepLines w:val="0"/>
        <w:widowControl/>
        <w:suppressLineNumbers w:val="0"/>
        <w:jc w:val="left"/>
        <w:rPr>
          <w:rFonts w:hint="eastAsia" w:ascii="宋体" w:hAnsi="宋体" w:eastAsia="宋体" w:cs="宋体"/>
        </w:rPr>
      </w:pPr>
    </w:p>
    <w:p w14:paraId="5375A977">
      <w:pPr>
        <w:pStyle w:val="4"/>
        <w:keepNext w:val="0"/>
        <w:keepLines w:val="0"/>
        <w:widowControl/>
        <w:suppressLineNumbers w:val="0"/>
        <w:jc w:val="left"/>
        <w:rPr>
          <w:rFonts w:hint="eastAsia" w:ascii="宋体" w:hAnsi="宋体" w:eastAsia="宋体" w:cs="宋体"/>
        </w:rPr>
      </w:pPr>
    </w:p>
    <w:p w14:paraId="098ADAAC">
      <w:pPr>
        <w:pStyle w:val="4"/>
        <w:keepNext w:val="0"/>
        <w:keepLines w:val="0"/>
        <w:widowControl/>
        <w:suppressLineNumbers w:val="0"/>
        <w:jc w:val="left"/>
        <w:rPr>
          <w:rFonts w:hint="eastAsia" w:ascii="宋体" w:hAnsi="宋体" w:eastAsia="宋体" w:cs="宋体"/>
        </w:rPr>
      </w:pPr>
    </w:p>
    <w:p w14:paraId="4DFF4588">
      <w:pPr>
        <w:pStyle w:val="4"/>
        <w:keepNext w:val="0"/>
        <w:keepLines w:val="0"/>
        <w:widowControl/>
        <w:suppressLineNumbers w:val="0"/>
        <w:jc w:val="left"/>
        <w:rPr>
          <w:rFonts w:hint="eastAsia" w:ascii="宋体" w:hAnsi="宋体" w:eastAsia="宋体" w:cs="宋体"/>
        </w:rPr>
      </w:pPr>
    </w:p>
    <w:p w14:paraId="7915AE14">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【NCR004】测试工装无独立接地</w:t>
      </w:r>
    </w:p>
    <w:p w14:paraId="66EFBB1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：现场多款测试工装、测试治具未设置独立接地点位，工装处于悬浮电位状态，作业过程中累积静电无法泄放，测试接触瞬间易放电损伤待测产品。</w:t>
      </w:r>
    </w:p>
    <w:p w14:paraId="6B1C172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防静电工装接地防护要求</w:t>
      </w:r>
    </w:p>
    <w:p w14:paraId="6A87CE3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测试工装静电接地管控规范</w:t>
      </w:r>
    </w:p>
    <w:p w14:paraId="37646FD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44E410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：立即暂停无接地工装测试作业，临时加装临时接地线路，完成接地导通测试合格后临时使用，同步排查所有工装接地状态。</w:t>
      </w:r>
    </w:p>
    <w:p w14:paraId="03F0A15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工装制作、验收无ESD接地强制要求，设计标准缺失；2. 工装台账未统计接地状态，管控盲区；3. 日常点检仅关注设备，忽略小型工装接地核查。</w:t>
      </w:r>
    </w:p>
    <w:p w14:paraId="5545703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新增工装ESD设计验收标准，明确所有金属、硬质测试工装必须配置独立接地；2. 对所有无接地工装统一加装标准化接地装置；3. 将工装接地完整性纳入日常点检台账。</w:t>
      </w:r>
    </w:p>
    <w:p w14:paraId="2ABF22B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：所有测试工装均配置独立接地，导通性能达标，悬浮电位隐患完全消除。</w:t>
      </w:r>
    </w:p>
    <w:p w14:paraId="2C42BB9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：新工装投入前必须完成接地验收，定期复测工装接地状态。</w:t>
      </w:r>
    </w:p>
    <w:p w14:paraId="5CCE263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：工装接地管控完善，隐患清零，可结案。</w:t>
      </w:r>
    </w:p>
    <w:p w14:paraId="35A74E7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测试工装直接接触待测敏感产品，悬浮电位工装会持续累积摩擦静电，无接地泄放通道时，静电电压会持续升高，接触产品瞬间形成高压放电回路，造成元器件击穿、参数偏移。工装属于高频接触器具，数量多、体积小，极易被日常管控忽视，是批量测试不良的核心隐性诱因。</w:t>
      </w:r>
    </w:p>
    <w:p w14:paraId="7C68745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建立工装ESD准入台账，登记接地状态、导通参数、验收记录；2. 每季度开展工装接地专项复测，老化、失效接地配件及时更换；3. 工装制作图纸强制增加ESD接地设计条款。</w:t>
      </w:r>
    </w:p>
    <w:p w14:paraId="4696E801">
      <w:pPr>
        <w:pStyle w:val="4"/>
        <w:keepNext w:val="0"/>
        <w:keepLines w:val="0"/>
        <w:widowControl/>
        <w:suppressLineNumbers w:val="0"/>
        <w:jc w:val="left"/>
        <w:rPr>
          <w:rFonts w:hint="eastAsia" w:ascii="宋体" w:hAnsi="宋体" w:eastAsia="宋体" w:cs="宋体"/>
        </w:rPr>
      </w:pPr>
    </w:p>
    <w:p w14:paraId="4C4AFC33">
      <w:pPr>
        <w:pStyle w:val="4"/>
        <w:keepNext w:val="0"/>
        <w:keepLines w:val="0"/>
        <w:widowControl/>
        <w:suppressLineNumbers w:val="0"/>
        <w:jc w:val="left"/>
        <w:rPr>
          <w:rFonts w:hint="eastAsia" w:ascii="宋体" w:hAnsi="宋体" w:eastAsia="宋体" w:cs="宋体"/>
        </w:rPr>
      </w:pPr>
    </w:p>
    <w:p w14:paraId="0F9ED999">
      <w:pPr>
        <w:pStyle w:val="4"/>
        <w:keepNext w:val="0"/>
        <w:keepLines w:val="0"/>
        <w:widowControl/>
        <w:suppressLineNumbers w:val="0"/>
        <w:jc w:val="left"/>
        <w:rPr>
          <w:rFonts w:hint="eastAsia" w:ascii="宋体" w:hAnsi="宋体" w:eastAsia="宋体" w:cs="宋体"/>
        </w:rPr>
      </w:pPr>
    </w:p>
    <w:p w14:paraId="1929A366">
      <w:pPr>
        <w:pStyle w:val="4"/>
        <w:keepNext w:val="0"/>
        <w:keepLines w:val="0"/>
        <w:widowControl/>
        <w:suppressLineNumbers w:val="0"/>
        <w:jc w:val="left"/>
        <w:rPr>
          <w:rFonts w:hint="eastAsia" w:ascii="宋体" w:hAnsi="宋体" w:eastAsia="宋体" w:cs="宋体"/>
        </w:rPr>
      </w:pPr>
    </w:p>
    <w:p w14:paraId="1B79A99C">
      <w:pPr>
        <w:pStyle w:val="4"/>
        <w:keepNext w:val="0"/>
        <w:keepLines w:val="0"/>
        <w:widowControl/>
        <w:suppressLineNumbers w:val="0"/>
        <w:jc w:val="left"/>
        <w:rPr>
          <w:rFonts w:hint="eastAsia" w:ascii="宋体" w:hAnsi="宋体" w:eastAsia="宋体" w:cs="宋体"/>
        </w:rPr>
      </w:pPr>
    </w:p>
    <w:p w14:paraId="7AF126A5">
      <w:pPr>
        <w:pStyle w:val="4"/>
        <w:keepNext w:val="0"/>
        <w:keepLines w:val="0"/>
        <w:widowControl/>
        <w:suppressLineNumbers w:val="0"/>
        <w:jc w:val="left"/>
        <w:rPr>
          <w:rFonts w:hint="eastAsia" w:ascii="宋体" w:hAnsi="宋体" w:eastAsia="宋体" w:cs="宋体"/>
        </w:rPr>
      </w:pPr>
    </w:p>
    <w:p w14:paraId="1B8F299B">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【NCR005】接地线破皮老化</w:t>
      </w:r>
    </w:p>
    <w:p w14:paraId="3BD1FAE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：现场多处工位接地线缆存在外皮破损、老化开裂、铜线外露问题，线缆绝缘性能失效，易出现接地短路、断路，导致静电泄放中断。</w:t>
      </w:r>
    </w:p>
    <w:p w14:paraId="60E3809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接地线缆完好性防护要求</w:t>
      </w:r>
    </w:p>
    <w:p w14:paraId="14B7DA1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静电接地线路完好运维规范</w:t>
      </w:r>
    </w:p>
    <w:p w14:paraId="2A9B014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0957D2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：立即隔离所有破皮老化接地线，临时更换备用合规线缆，全线排查线缆破损情况，杜绝破损线缆带病使用。</w:t>
      </w:r>
    </w:p>
    <w:p w14:paraId="73546BE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接地线长期弯折、摩擦、碾压，无防护套管，自然老化破损；2. 无线缆周期性更换、巡检机制，老化问题长期遗留；3. 员工作业操作不规范，随意拉扯、弯折接地线。</w:t>
      </w:r>
    </w:p>
    <w:p w14:paraId="1BBA61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对所有接地线缆加装耐磨防护套管，规避摩擦破损；2. 建立接地线年度更换、季度巡检制度，老化线缆提前更替；3. 规范员工作业行为，严禁拉扯、碾压接地线缆。</w:t>
      </w:r>
    </w:p>
    <w:p w14:paraId="74C63F9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：全厂接地线完好无破损，防护套管安装到位，接地线路导通稳定，无短路断路隐患。</w:t>
      </w:r>
    </w:p>
    <w:p w14:paraId="0B5AD44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：季度常态化巡检线缆状态，年度统一更换老旧线缆，规范现场线缆排布。</w:t>
      </w:r>
    </w:p>
    <w:p w14:paraId="539DD0F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：接地线路运维合规，隐患闭环，可结案。</w:t>
      </w:r>
    </w:p>
    <w:p w14:paraId="1CD1BCE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接地线破皮老化会直接破坏接地系统稳定性，外露铜线易接触设备壳体造成短路，或因线缆断裂导致接地失效，工位瞬间失去静电防护能力。该问题属于运维保养不到位导致的常规隐患，长期放任会引发突发性ESD异常，造成批量产品不良，影响生产稳定性。</w:t>
      </w:r>
    </w:p>
    <w:p w14:paraId="1106399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统一规范车间接地线排布，固定走线、避免悬空弯折与地面碾压；2. 建立线缆寿命台账，标注安装日期、更换周期，到期强制更换；3. 将线缆外观完好性纳入班前目视必检项目。</w:t>
      </w:r>
    </w:p>
    <w:p w14:paraId="11B341F0">
      <w:pPr>
        <w:pStyle w:val="4"/>
        <w:keepNext w:val="0"/>
        <w:keepLines w:val="0"/>
        <w:widowControl/>
        <w:suppressLineNumbers w:val="0"/>
        <w:jc w:val="left"/>
        <w:rPr>
          <w:rFonts w:hint="eastAsia" w:ascii="宋体" w:hAnsi="宋体" w:eastAsia="宋体" w:cs="宋体"/>
        </w:rPr>
      </w:pPr>
    </w:p>
    <w:p w14:paraId="5827BBCD">
      <w:pPr>
        <w:pStyle w:val="4"/>
        <w:keepNext w:val="0"/>
        <w:keepLines w:val="0"/>
        <w:widowControl/>
        <w:suppressLineNumbers w:val="0"/>
        <w:jc w:val="left"/>
        <w:rPr>
          <w:rFonts w:hint="eastAsia" w:ascii="宋体" w:hAnsi="宋体" w:eastAsia="宋体" w:cs="宋体"/>
        </w:rPr>
      </w:pPr>
    </w:p>
    <w:p w14:paraId="180BEF81">
      <w:pPr>
        <w:pStyle w:val="4"/>
        <w:keepNext w:val="0"/>
        <w:keepLines w:val="0"/>
        <w:widowControl/>
        <w:suppressLineNumbers w:val="0"/>
        <w:jc w:val="left"/>
        <w:rPr>
          <w:rFonts w:hint="eastAsia" w:ascii="宋体" w:hAnsi="宋体" w:eastAsia="宋体" w:cs="宋体"/>
        </w:rPr>
      </w:pPr>
    </w:p>
    <w:p w14:paraId="03ED1CB7">
      <w:pPr>
        <w:pStyle w:val="4"/>
        <w:keepNext w:val="0"/>
        <w:keepLines w:val="0"/>
        <w:widowControl/>
        <w:suppressLineNumbers w:val="0"/>
        <w:jc w:val="left"/>
        <w:rPr>
          <w:rFonts w:hint="eastAsia" w:ascii="宋体" w:hAnsi="宋体" w:eastAsia="宋体" w:cs="宋体"/>
        </w:rPr>
      </w:pPr>
    </w:p>
    <w:p w14:paraId="171CC638">
      <w:pPr>
        <w:pStyle w:val="4"/>
        <w:keepNext w:val="0"/>
        <w:keepLines w:val="0"/>
        <w:widowControl/>
        <w:suppressLineNumbers w:val="0"/>
        <w:jc w:val="left"/>
        <w:rPr>
          <w:rFonts w:hint="eastAsia" w:ascii="宋体" w:hAnsi="宋体" w:eastAsia="宋体" w:cs="宋体"/>
        </w:rPr>
      </w:pPr>
    </w:p>
    <w:p w14:paraId="7C8225E8">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【NCR006】接地铜排氧化发黑</w:t>
      </w:r>
    </w:p>
    <w:p w14:paraId="4A5DC99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：车间接地铜排表面出现氧化发黑、锈蚀斑点，铜排接触电阻增大，接地导通性能下降，无法满足标准静电泄放要求。</w:t>
      </w:r>
    </w:p>
    <w:p w14:paraId="1AE9A82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接地导体导通性能完好要求</w:t>
      </w:r>
    </w:p>
    <w:p w14:paraId="2C0C91C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接地铜排运维与导通管控规范</w:t>
      </w:r>
    </w:p>
    <w:p w14:paraId="10B02AE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173A6C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：立即对氧化铜排进行打磨除锈、清洁处理，复测导通电阻，确保接地性能临时达标，全面排查全域铜排氧化情况。</w:t>
      </w:r>
    </w:p>
    <w:p w14:paraId="6D5926A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车间环境存在轻微湿气、粉尘，长期附着铜排引发氧化锈蚀；2. 无铜排定期清洁、防锈维保机制；3. 接地系统维保仅关注线缆，忽略铜排本体运维。</w:t>
      </w:r>
    </w:p>
    <w:p w14:paraId="6DA7793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每月开展接地铜排清洁除尘、防锈养护作业；2. 对清洁后的铜排涂抹专用防锈防护剂，杜绝氧化再生；3. 将铜排导通性能、外观状态纳入季度接地复测项目。</w:t>
      </w:r>
    </w:p>
    <w:p w14:paraId="37464B8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：全域接地铜排清洁无氧化，导通电阻达标，接地主干回路性能稳定可靠。</w:t>
      </w:r>
    </w:p>
    <w:p w14:paraId="0C63B3E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：常态化落实月度养护、季度复测，保持铜排长期完好导通。</w:t>
      </w:r>
    </w:p>
    <w:p w14:paraId="4C50DD9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：接地主干系统运维合规，隐患清零，可结案。</w:t>
      </w:r>
    </w:p>
    <w:p w14:paraId="54C4B15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接地铜排是全厂ESD接地的主干核心，氧化锈蚀会直接增大接地电阻，降低静电泄放效率，导致工位、设备静电残留超标。铜排氧化属于缓慢持续性隐患，不会瞬间失效，但会持续弱化整体ESD防护能力，是车间静电异常、隐性不良的重要诱因，暴露维保工作精细化不足的问题。</w:t>
      </w:r>
    </w:p>
    <w:p w14:paraId="1142B8E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划分接地铜排责任区域，落实专人专属维保责任制；2. 建立铜排养护、导通数据台账，实现状态可追溯；3. 优化车间温湿度管控，降低潮湿粉尘环境对铜排的腐蚀影响。</w:t>
      </w:r>
    </w:p>
    <w:p w14:paraId="3D3FA64C">
      <w:pPr>
        <w:pStyle w:val="4"/>
        <w:keepNext w:val="0"/>
        <w:keepLines w:val="0"/>
        <w:widowControl/>
        <w:suppressLineNumbers w:val="0"/>
        <w:jc w:val="left"/>
        <w:rPr>
          <w:rFonts w:hint="eastAsia" w:ascii="宋体" w:hAnsi="宋体" w:eastAsia="宋体" w:cs="宋体"/>
        </w:rPr>
      </w:pPr>
    </w:p>
    <w:p w14:paraId="26C54D4B">
      <w:pPr>
        <w:pStyle w:val="4"/>
        <w:keepNext w:val="0"/>
        <w:keepLines w:val="0"/>
        <w:widowControl/>
        <w:suppressLineNumbers w:val="0"/>
        <w:jc w:val="left"/>
        <w:rPr>
          <w:rFonts w:hint="eastAsia" w:ascii="宋体" w:hAnsi="宋体" w:eastAsia="宋体" w:cs="宋体"/>
        </w:rPr>
      </w:pPr>
    </w:p>
    <w:p w14:paraId="4792D2B0">
      <w:pPr>
        <w:pStyle w:val="4"/>
        <w:keepNext w:val="0"/>
        <w:keepLines w:val="0"/>
        <w:widowControl/>
        <w:suppressLineNumbers w:val="0"/>
        <w:jc w:val="left"/>
        <w:rPr>
          <w:rFonts w:hint="eastAsia" w:ascii="宋体" w:hAnsi="宋体" w:eastAsia="宋体" w:cs="宋体"/>
        </w:rPr>
      </w:pPr>
    </w:p>
    <w:p w14:paraId="4B66D6B1">
      <w:pPr>
        <w:pStyle w:val="4"/>
        <w:keepNext w:val="0"/>
        <w:keepLines w:val="0"/>
        <w:widowControl/>
        <w:suppressLineNumbers w:val="0"/>
        <w:jc w:val="left"/>
        <w:rPr>
          <w:rFonts w:hint="eastAsia" w:ascii="宋体" w:hAnsi="宋体" w:eastAsia="宋体" w:cs="宋体"/>
        </w:rPr>
      </w:pPr>
    </w:p>
    <w:p w14:paraId="0243EA27">
      <w:pPr>
        <w:pStyle w:val="4"/>
        <w:keepNext w:val="0"/>
        <w:keepLines w:val="0"/>
        <w:widowControl/>
        <w:suppressLineNumbers w:val="0"/>
        <w:jc w:val="left"/>
        <w:rPr>
          <w:rFonts w:hint="eastAsia" w:ascii="宋体" w:hAnsi="宋体" w:eastAsia="宋体" w:cs="宋体"/>
        </w:rPr>
      </w:pPr>
    </w:p>
    <w:p w14:paraId="64F392B0">
      <w:pPr>
        <w:pStyle w:val="4"/>
        <w:keepNext w:val="0"/>
        <w:keepLines w:val="0"/>
        <w:widowControl/>
        <w:suppressLineNumbers w:val="0"/>
        <w:jc w:val="left"/>
        <w:rPr>
          <w:rFonts w:hint="eastAsia" w:ascii="宋体" w:hAnsi="宋体" w:eastAsia="宋体" w:cs="宋体"/>
        </w:rPr>
      </w:pPr>
    </w:p>
    <w:p w14:paraId="0C7C7162">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【NCR007】设备防静电脚垫缺失</w:t>
      </w:r>
    </w:p>
    <w:p w14:paraId="6B0AB78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：部分生产、测试设备底部防静电脚垫脱落、缺失，设备金属底座直接接触地面，绝缘泄放结构失效，设备静电无法平稳泄放。</w:t>
      </w:r>
    </w:p>
    <w:p w14:paraId="5D68366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设备防静电支撑防护要求</w:t>
      </w:r>
    </w:p>
    <w:p w14:paraId="411F031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设备防静电配件完好管控规范</w:t>
      </w:r>
    </w:p>
    <w:p w14:paraId="72DF590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0B8CF0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：立即为缺失脚垫设备加装合规防静电脚垫，临时调整设备摆放位置，确保设备静电泄放正常，全面排查所有设备脚垫状态。</w:t>
      </w:r>
    </w:p>
    <w:p w14:paraId="6CDC613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设备移动、搬运过程中易磨损、脱落脚垫，无防护管控；2. 日常设备点检未包含防静电脚垫核查项目；3. 无脚垫损耗更换机制，缺失后未及时补装。</w:t>
      </w:r>
    </w:p>
    <w:p w14:paraId="58DC849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全域设备统一更换加厚耐磨防静电脚垫，提升耐用性；2. 将脚垫完好性纳入设备每日点检项目；3. 储备专用脚垫耗材，缺失、磨损即时补换。</w:t>
      </w:r>
    </w:p>
    <w:p w14:paraId="6B787B0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：所有设备防静电脚垫齐全完好，设备静电泄放通道正常，防护功能达标。</w:t>
      </w:r>
    </w:p>
    <w:p w14:paraId="6B2579B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：日常点检常态化核查脚垫状态，磨损脱落即时更换。</w:t>
      </w:r>
    </w:p>
    <w:p w14:paraId="2717954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：设备底部防护完善，风险闭环，可结案。</w:t>
      </w:r>
    </w:p>
    <w:p w14:paraId="02C9320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防静电脚垫是设备接地泄放的辅助关键配件，缺失后设备金属底座直接贴合地面，易形成绝缘或非正常导通状态，导致设备运行摩擦静电累积滞留。设备静电无法平稳泄放会持续干扰测试精度、击穿接触产品，属于易被忽略的细节性ESD隐患，累积后易引发批量质量异常。</w:t>
      </w:r>
    </w:p>
    <w:p w14:paraId="054FC37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建立设备防静电配件耗材台账，定期盘点储备；2. 设备搬运、移位后第一时间核查脚垫完好状态；3. 将脚垫完整性纳入设备年度ESD验收指标。</w:t>
      </w:r>
    </w:p>
    <w:p w14:paraId="7D835662">
      <w:pPr>
        <w:pStyle w:val="4"/>
        <w:keepNext w:val="0"/>
        <w:keepLines w:val="0"/>
        <w:widowControl/>
        <w:suppressLineNumbers w:val="0"/>
        <w:jc w:val="left"/>
        <w:rPr>
          <w:rFonts w:hint="eastAsia" w:ascii="宋体" w:hAnsi="宋体" w:eastAsia="宋体" w:cs="宋体"/>
        </w:rPr>
      </w:pPr>
    </w:p>
    <w:p w14:paraId="6EB61155">
      <w:pPr>
        <w:pStyle w:val="4"/>
        <w:keepNext w:val="0"/>
        <w:keepLines w:val="0"/>
        <w:widowControl/>
        <w:suppressLineNumbers w:val="0"/>
        <w:jc w:val="left"/>
        <w:rPr>
          <w:rFonts w:hint="eastAsia" w:ascii="宋体" w:hAnsi="宋体" w:eastAsia="宋体" w:cs="宋体"/>
        </w:rPr>
      </w:pPr>
    </w:p>
    <w:p w14:paraId="05A60C20">
      <w:pPr>
        <w:pStyle w:val="4"/>
        <w:keepNext w:val="0"/>
        <w:keepLines w:val="0"/>
        <w:widowControl/>
        <w:suppressLineNumbers w:val="0"/>
        <w:jc w:val="left"/>
        <w:rPr>
          <w:rFonts w:hint="eastAsia" w:ascii="宋体" w:hAnsi="宋体" w:eastAsia="宋体" w:cs="宋体"/>
        </w:rPr>
      </w:pPr>
    </w:p>
    <w:p w14:paraId="54F35B88">
      <w:pPr>
        <w:pStyle w:val="4"/>
        <w:keepNext w:val="0"/>
        <w:keepLines w:val="0"/>
        <w:widowControl/>
        <w:suppressLineNumbers w:val="0"/>
        <w:jc w:val="left"/>
        <w:rPr>
          <w:rFonts w:hint="eastAsia" w:ascii="宋体" w:hAnsi="宋体" w:eastAsia="宋体" w:cs="宋体"/>
        </w:rPr>
      </w:pPr>
    </w:p>
    <w:p w14:paraId="2E9AC5E6">
      <w:pPr>
        <w:pStyle w:val="4"/>
        <w:keepNext w:val="0"/>
        <w:keepLines w:val="0"/>
        <w:widowControl/>
        <w:suppressLineNumbers w:val="0"/>
        <w:jc w:val="left"/>
        <w:rPr>
          <w:rFonts w:hint="eastAsia" w:ascii="宋体" w:hAnsi="宋体" w:eastAsia="宋体" w:cs="宋体"/>
        </w:rPr>
      </w:pPr>
    </w:p>
    <w:p w14:paraId="500C7196">
      <w:pPr>
        <w:pStyle w:val="4"/>
        <w:keepNext w:val="0"/>
        <w:keepLines w:val="0"/>
        <w:widowControl/>
        <w:suppressLineNumbers w:val="0"/>
        <w:jc w:val="left"/>
        <w:rPr>
          <w:rFonts w:hint="eastAsia" w:ascii="宋体" w:hAnsi="宋体" w:eastAsia="宋体" w:cs="宋体"/>
        </w:rPr>
      </w:pPr>
    </w:p>
    <w:p w14:paraId="786D518F">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【NCR008】接地点无标识</w:t>
      </w:r>
    </w:p>
    <w:p w14:paraId="14CA58F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：车间所有接地端子、接地铜排接地点无专用ESD接地标识，无法区分防静电接地与普通电气接地，易出现误操作、误接线，接地管控无辨识度。</w:t>
      </w:r>
    </w:p>
    <w:p w14:paraId="32CC16A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接地点位标识化管控要求</w:t>
      </w:r>
    </w:p>
    <w:p w14:paraId="06B0B4D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静电接地点位标识规范</w:t>
      </w:r>
    </w:p>
    <w:p w14:paraId="6816C27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254289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：立即梳理所有ESD接地点位，临时张贴简易标识，区分防静电接地与电气接地，杜绝误接误用。</w:t>
      </w:r>
    </w:p>
    <w:p w14:paraId="4FD67A8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ESD体系文件未明确接地点标识标准，标识管控要求缺失；2. 车间前期接地施工未同步配置专用标识；3. 日常稽核未关注接地标识完整性。</w:t>
      </w:r>
    </w:p>
    <w:p w14:paraId="6E7FA13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统一制作标准化ESD接地专用标识，全覆盖张贴所有接地点；2. 明确防静电接地、电气接地差异化标识样式，杜绝混淆；3. 将接地标识完好、清晰纳入日常点检。</w:t>
      </w:r>
    </w:p>
    <w:p w14:paraId="6A4644B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：全厂ESD接地点标识齐全、清晰、规范，接地点位辨识度100%，无混淆风险。</w:t>
      </w:r>
    </w:p>
    <w:p w14:paraId="516B70E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：新增接地点同步配置标识，破损、脱落即时补贴。</w:t>
      </w:r>
    </w:p>
    <w:p w14:paraId="0CBF078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：接地标识管控合规，现场标准化达标，可结案。</w:t>
      </w:r>
    </w:p>
    <w:p w14:paraId="4C1EA31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接地点无标识属于ESD现场标准化缺失问题，虽不直接影响接地性能，但会导致运维、接线作业无区分标准，极易出现将普通电路接地替代ESD接地、私接线路等违规行为，破坏整体接地系统合规性，同时无法满足客户审厂、体系稽核的标准化要求，属于体系合规性短板。</w:t>
      </w:r>
    </w:p>
    <w:p w14:paraId="43A6C51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统一全厂ESD接地标识规格、颜色、样式，实现标准化统一；2. 标识上标注接地用途、管控责任人、复检周期；3. 定期排查标识清晰度，褪色、破损即时更换。</w:t>
      </w:r>
    </w:p>
    <w:p w14:paraId="495F9A49">
      <w:pPr>
        <w:pStyle w:val="4"/>
        <w:keepNext w:val="0"/>
        <w:keepLines w:val="0"/>
        <w:widowControl/>
        <w:suppressLineNumbers w:val="0"/>
        <w:jc w:val="left"/>
        <w:rPr>
          <w:rFonts w:hint="eastAsia" w:ascii="宋体" w:hAnsi="宋体" w:eastAsia="宋体" w:cs="宋体"/>
        </w:rPr>
      </w:pPr>
    </w:p>
    <w:p w14:paraId="4FD6AC41">
      <w:pPr>
        <w:pStyle w:val="4"/>
        <w:keepNext w:val="0"/>
        <w:keepLines w:val="0"/>
        <w:widowControl/>
        <w:suppressLineNumbers w:val="0"/>
        <w:jc w:val="left"/>
        <w:rPr>
          <w:rFonts w:hint="eastAsia" w:ascii="宋体" w:hAnsi="宋体" w:eastAsia="宋体" w:cs="宋体"/>
        </w:rPr>
      </w:pPr>
    </w:p>
    <w:p w14:paraId="3E718C69">
      <w:pPr>
        <w:pStyle w:val="4"/>
        <w:keepNext w:val="0"/>
        <w:keepLines w:val="0"/>
        <w:widowControl/>
        <w:suppressLineNumbers w:val="0"/>
        <w:jc w:val="left"/>
        <w:rPr>
          <w:rFonts w:hint="eastAsia" w:ascii="宋体" w:hAnsi="宋体" w:eastAsia="宋体" w:cs="宋体"/>
        </w:rPr>
      </w:pPr>
    </w:p>
    <w:p w14:paraId="1249345D">
      <w:pPr>
        <w:pStyle w:val="4"/>
        <w:keepNext w:val="0"/>
        <w:keepLines w:val="0"/>
        <w:widowControl/>
        <w:suppressLineNumbers w:val="0"/>
        <w:jc w:val="left"/>
        <w:rPr>
          <w:rFonts w:hint="eastAsia" w:ascii="宋体" w:hAnsi="宋体" w:eastAsia="宋体" w:cs="宋体"/>
        </w:rPr>
      </w:pPr>
    </w:p>
    <w:p w14:paraId="39889666">
      <w:pPr>
        <w:pStyle w:val="4"/>
        <w:keepNext w:val="0"/>
        <w:keepLines w:val="0"/>
        <w:widowControl/>
        <w:suppressLineNumbers w:val="0"/>
        <w:jc w:val="left"/>
        <w:rPr>
          <w:rFonts w:hint="eastAsia" w:ascii="宋体" w:hAnsi="宋体" w:eastAsia="宋体" w:cs="宋体"/>
        </w:rPr>
      </w:pPr>
    </w:p>
    <w:p w14:paraId="3E3704CF">
      <w:pPr>
        <w:pStyle w:val="4"/>
        <w:keepNext w:val="0"/>
        <w:keepLines w:val="0"/>
        <w:widowControl/>
        <w:suppressLineNumbers w:val="0"/>
        <w:jc w:val="left"/>
        <w:rPr>
          <w:rFonts w:hint="eastAsia" w:ascii="宋体" w:hAnsi="宋体" w:eastAsia="宋体" w:cs="宋体"/>
        </w:rPr>
      </w:pPr>
    </w:p>
    <w:p w14:paraId="2038F2B1">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【NCR009】新机设备未做ESD验收直接投产</w:t>
      </w:r>
    </w:p>
    <w:p w14:paraId="2EC6761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：车间新增、改造生产设备、测试治具，未开展ESD接地、静电性能专项验收，无验收记录及检测数据，直接投入敏感物料作业，存在未知静电风险。</w:t>
      </w:r>
    </w:p>
    <w:p w14:paraId="044117F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4.4 新设备ESD准入验收要求</w:t>
      </w:r>
    </w:p>
    <w:p w14:paraId="114989E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4.4 新增设备静电防护验收规范</w:t>
      </w:r>
    </w:p>
    <w:p w14:paraId="26D6971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134BF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：立即暂停所有未验收新机作业，组织品质、设备部门开展专项ESD全面检测验收，验收合格后方可复工。</w:t>
      </w:r>
    </w:p>
    <w:p w14:paraId="13BEC08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设备投产流程缺失ESD前置验收环节，流程漏洞；2. 设备、工艺人员未掌握新机ESD验收标准；3. 投产审批管控不严，无ESD验收资料可审批放行。</w:t>
      </w:r>
    </w:p>
    <w:p w14:paraId="4B92017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修订设备投产管理制度，将ESD验收设为新机投产前置必要条件；2. 制定新机ESD验收标准表单，明确接地、电位、静电性能检测项目；3. 无验收合格资料严禁投产使用。</w:t>
      </w:r>
    </w:p>
    <w:p w14:paraId="71A9EA2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：所有新机全部完成ESD专项验收，检测数据合格、资料齐全，投产合规可控。</w:t>
      </w:r>
    </w:p>
    <w:p w14:paraId="6BB1B04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：严格执行新机ESD验收准入机制，无验收、不合格严禁投产。</w:t>
      </w:r>
    </w:p>
    <w:p w14:paraId="24E018E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：设备准入管控闭环，风险清零，可结案。</w:t>
      </w:r>
    </w:p>
    <w:p w14:paraId="335DA1B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新设备未做ESD验收投产属于流程性体系漏洞，新机出厂接地、绝缘、静电性能无合规校验，可能存在设计缺陷、接地不良、静电超标等隐性问题。直接投产会导致未知静电风险直接作用于敏感物料，极易引发批量产品报废，同时违反体系标准化准入要求，审厂风险极高。</w:t>
      </w:r>
    </w:p>
    <w:p w14:paraId="1F58810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建立新机「设备验收-ESD检测-资料归档-投产放行」四步准入流程；2. 留存所有验收数据、检测报告、照片，实现全程溯源；3. 对设备对接人员开展ESD准入验收专项培训。</w:t>
      </w:r>
    </w:p>
    <w:p w14:paraId="6668036A">
      <w:pPr>
        <w:pStyle w:val="4"/>
        <w:keepNext w:val="0"/>
        <w:keepLines w:val="0"/>
        <w:widowControl/>
        <w:suppressLineNumbers w:val="0"/>
        <w:jc w:val="left"/>
        <w:rPr>
          <w:rFonts w:hint="eastAsia" w:ascii="宋体" w:hAnsi="宋体" w:eastAsia="宋体" w:cs="宋体"/>
        </w:rPr>
      </w:pPr>
    </w:p>
    <w:p w14:paraId="1052E1E8">
      <w:pPr>
        <w:pStyle w:val="4"/>
        <w:keepNext w:val="0"/>
        <w:keepLines w:val="0"/>
        <w:widowControl/>
        <w:suppressLineNumbers w:val="0"/>
        <w:jc w:val="left"/>
        <w:rPr>
          <w:rFonts w:hint="eastAsia" w:ascii="宋体" w:hAnsi="宋体" w:eastAsia="宋体" w:cs="宋体"/>
        </w:rPr>
      </w:pPr>
    </w:p>
    <w:p w14:paraId="647DD8CA">
      <w:pPr>
        <w:pStyle w:val="4"/>
        <w:keepNext w:val="0"/>
        <w:keepLines w:val="0"/>
        <w:widowControl/>
        <w:suppressLineNumbers w:val="0"/>
        <w:jc w:val="left"/>
        <w:rPr>
          <w:rFonts w:hint="eastAsia" w:ascii="宋体" w:hAnsi="宋体" w:eastAsia="宋体" w:cs="宋体"/>
        </w:rPr>
      </w:pPr>
    </w:p>
    <w:p w14:paraId="40C32F2F">
      <w:pPr>
        <w:pStyle w:val="4"/>
        <w:keepNext w:val="0"/>
        <w:keepLines w:val="0"/>
        <w:widowControl/>
        <w:suppressLineNumbers w:val="0"/>
        <w:jc w:val="left"/>
        <w:rPr>
          <w:rFonts w:hint="eastAsia" w:ascii="宋体" w:hAnsi="宋体" w:eastAsia="宋体" w:cs="宋体"/>
        </w:rPr>
      </w:pPr>
    </w:p>
    <w:p w14:paraId="183CE145">
      <w:pPr>
        <w:pStyle w:val="4"/>
        <w:keepNext w:val="0"/>
        <w:keepLines w:val="0"/>
        <w:widowControl/>
        <w:suppressLineNumbers w:val="0"/>
        <w:jc w:val="left"/>
        <w:rPr>
          <w:rFonts w:hint="eastAsia" w:ascii="宋体" w:hAnsi="宋体" w:eastAsia="宋体" w:cs="宋体"/>
        </w:rPr>
      </w:pPr>
    </w:p>
    <w:p w14:paraId="5E6497C4">
      <w:pPr>
        <w:pStyle w:val="4"/>
        <w:keepNext w:val="0"/>
        <w:keepLines w:val="0"/>
        <w:widowControl/>
        <w:suppressLineNumbers w:val="0"/>
        <w:jc w:val="left"/>
        <w:rPr>
          <w:rFonts w:hint="eastAsia" w:ascii="宋体" w:hAnsi="宋体" w:eastAsia="宋体" w:cs="宋体"/>
        </w:rPr>
      </w:pPr>
    </w:p>
    <w:p w14:paraId="7221B059">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【NCR010】仓库物料货架未接地</w:t>
      </w:r>
    </w:p>
    <w:p w14:paraId="0D4E728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：仓储EPA区域物料存放金属货架未做防静电接地处理，货架处于悬浮电位，物料存放、取放摩擦产生的静电无法泄放，易造成存储物料静电累积损伤。</w:t>
      </w:r>
    </w:p>
    <w:p w14:paraId="0BCAB41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仓储EPA设施接地防护要求</w:t>
      </w:r>
    </w:p>
    <w:p w14:paraId="51B2CE7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仓储静电防护设施接地规范</w:t>
      </w:r>
    </w:p>
    <w:p w14:paraId="6FECF26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36B8DC3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：临时对仓储货架做临时接地处理，复测导通性能，暂时保障物料存储安全，全面排查所有仓储货架接地状态。</w:t>
      </w:r>
    </w:p>
    <w:p w14:paraId="1A3753D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体系文件前期未覆盖仓储EPA接地要求，管控标准缺失；2. 仓储人员ESD防护意识薄弱，忽略货架接地重要性；3. 日常ESD稽查重点聚焦生产区，仓储区域排查遗漏。</w:t>
      </w:r>
    </w:p>
    <w:p w14:paraId="405419F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对所有仓储金属货架统一加装标准化接地装置；2. 将仓储货架接地维保、复测纳入月度ESD管控计划；3. 把仓储区域纳入常态化ESD稽查核心范围。</w:t>
      </w:r>
    </w:p>
    <w:p w14:paraId="39F18AF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：全域仓储货架全部合规接地，导通性能达标，物料存储静电风险清零。</w:t>
      </w:r>
    </w:p>
    <w:p w14:paraId="5E3C187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：定期复测仓储货架接地性能，常态化排查管控。</w:t>
      </w:r>
    </w:p>
    <w:p w14:paraId="7E572B2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：仓储接地管控合规，隐患闭环，可结案。</w:t>
      </w:r>
    </w:p>
    <w:p w14:paraId="1E8F036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仓储是物料静态防护的核心区域，金属货架无接地会持续累积静电，物料长期存放过程中会缓慢吸附静电，造成隐性击穿、参数漂移、氧化受潮等不良。多数企业重生产、轻仓储，导致仓储ESD管控成为体系盲区，是客户审厂高频不符合项，同时持续影响物料存储品质。</w:t>
      </w:r>
    </w:p>
    <w:p w14:paraId="530DDFC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建立仓储专属ESD管控台账，包含货架接地、温湿度、物料防护等数据；2. 每季度开展仓储ESD专项全面排查，补齐管控短板；3. 定期对仓储人员开展ESD专项培训，提升仓储防护意识。</w:t>
      </w:r>
    </w:p>
    <w:p w14:paraId="10D3FD8B">
      <w:pPr>
        <w:pStyle w:val="4"/>
        <w:keepNext w:val="0"/>
        <w:keepLines w:val="0"/>
        <w:widowControl/>
        <w:suppressLineNumbers w:val="0"/>
        <w:jc w:val="left"/>
        <w:rPr>
          <w:rFonts w:hint="eastAsia" w:ascii="宋体" w:hAnsi="宋体" w:eastAsia="宋体" w:cs="宋体"/>
        </w:rPr>
      </w:pPr>
    </w:p>
    <w:p w14:paraId="5F920B7D">
      <w:pPr>
        <w:pStyle w:val="4"/>
        <w:keepNext w:val="0"/>
        <w:keepLines w:val="0"/>
        <w:widowControl/>
        <w:suppressLineNumbers w:val="0"/>
        <w:jc w:val="left"/>
        <w:rPr>
          <w:rFonts w:hint="eastAsia" w:ascii="宋体" w:hAnsi="宋体" w:eastAsia="宋体" w:cs="宋体"/>
        </w:rPr>
      </w:pPr>
    </w:p>
    <w:p w14:paraId="6527C903">
      <w:pPr>
        <w:pStyle w:val="4"/>
        <w:keepNext w:val="0"/>
        <w:keepLines w:val="0"/>
        <w:widowControl/>
        <w:suppressLineNumbers w:val="0"/>
        <w:jc w:val="left"/>
        <w:rPr>
          <w:rFonts w:hint="eastAsia" w:ascii="宋体" w:hAnsi="宋体" w:eastAsia="宋体" w:cs="宋体"/>
        </w:rPr>
      </w:pPr>
    </w:p>
    <w:p w14:paraId="49954718">
      <w:pPr>
        <w:pStyle w:val="4"/>
        <w:keepNext w:val="0"/>
        <w:keepLines w:val="0"/>
        <w:widowControl/>
        <w:suppressLineNumbers w:val="0"/>
        <w:jc w:val="left"/>
        <w:rPr>
          <w:rFonts w:hint="eastAsia" w:ascii="宋体" w:hAnsi="宋体" w:eastAsia="宋体" w:cs="宋体"/>
        </w:rPr>
      </w:pPr>
    </w:p>
    <w:p w14:paraId="16C24F8B">
      <w:pPr>
        <w:pStyle w:val="4"/>
        <w:keepNext w:val="0"/>
        <w:keepLines w:val="0"/>
        <w:widowControl/>
        <w:suppressLineNumbers w:val="0"/>
        <w:jc w:val="left"/>
        <w:rPr>
          <w:rFonts w:hint="eastAsia" w:ascii="宋体" w:hAnsi="宋体" w:eastAsia="宋体" w:cs="宋体"/>
        </w:rPr>
      </w:pPr>
    </w:p>
    <w:p w14:paraId="705A2631">
      <w:pPr>
        <w:pStyle w:val="4"/>
        <w:keepNext w:val="0"/>
        <w:keepLines w:val="0"/>
        <w:widowControl/>
        <w:suppressLineNumbers w:val="0"/>
        <w:jc w:val="left"/>
        <w:rPr>
          <w:rFonts w:hint="eastAsia" w:ascii="宋体" w:hAnsi="宋体" w:eastAsia="宋体" w:cs="宋体"/>
        </w:rPr>
      </w:pPr>
    </w:p>
    <w:p w14:paraId="46334F0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【NCR011】周转车未接地、无防静电轮</w:t>
      </w:r>
    </w:p>
    <w:p w14:paraId="2753AD7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：车间物料周转车未配置防静电轮、无接地连接线，转运过程中车体摩擦产生大量静电无法泄放，转运敏感物料存在静电损伤风险。</w:t>
      </w:r>
    </w:p>
    <w:p w14:paraId="5C9108F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6.1 物料转运工具防静电防护要求</w:t>
      </w:r>
    </w:p>
    <w:p w14:paraId="520231B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6.1 周转器具静电防护管控规范</w:t>
      </w:r>
    </w:p>
    <w:p w14:paraId="7848D6E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57C601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：立即停用所有不合规周转车，临时调配合规防静电周转车投入使用，暂停无防护车辆转运敏感物料。</w:t>
      </w:r>
    </w:p>
    <w:p w14:paraId="28A3495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周转车采购、准入无ESD防静电标准，器具管控不完善；2. 周转车未纳入ESD设备台账，无维保整改机制；3. 员工随意使用普通周转车，风险认知不足。</w:t>
      </w:r>
    </w:p>
    <w:p w14:paraId="26FCF56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所有物料周转车统一更换防静电轮，加装专用接地连接线；2. 建立周转车ESD台账，定期检测防静电性能；3. 严禁普通周转车进入EPA区域转运敏感物料。</w:t>
      </w:r>
    </w:p>
    <w:p w14:paraId="63E5862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：所有周转车均配齐防静电轮及接地装置，静电泄放性能达标，转运防护合规。</w:t>
      </w:r>
    </w:p>
    <w:p w14:paraId="26B6B1A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：定期检测周转车防静电性能，老化配件及时更换。</w:t>
      </w:r>
    </w:p>
    <w:p w14:paraId="2C2E9F0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：转运工具防护完善，风险闭环，可结案。</w:t>
      </w:r>
    </w:p>
    <w:p w14:paraId="67AFDD2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物料转运是生产全流程的关键环节，周转车移动摩擦产生的静电电压高、随机性强，无接地、无防静电轮会导致车体静电持续累积，转运过程中极易通过物料托盘、包装传导至精密元器件，造成瞬时放电损伤。周转器具属于移动类防护设备，管控难度高，是全流程ESD防护的薄弱环节。</w:t>
      </w:r>
    </w:p>
    <w:p w14:paraId="4ED0776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周转车张贴ESD合格标识，实现目视化合规管理；2. 每月抽检周转车防静电轮电阻、接地导通性能；3. 划定专用合规周转车停放区域，禁止混放普通车辆。</w:t>
      </w:r>
    </w:p>
    <w:p w14:paraId="6509E2FB">
      <w:pPr>
        <w:pStyle w:val="4"/>
        <w:keepNext w:val="0"/>
        <w:keepLines w:val="0"/>
        <w:widowControl/>
        <w:suppressLineNumbers w:val="0"/>
        <w:jc w:val="left"/>
        <w:rPr>
          <w:rFonts w:hint="eastAsia" w:ascii="宋体" w:hAnsi="宋体" w:eastAsia="宋体" w:cs="宋体"/>
        </w:rPr>
      </w:pPr>
    </w:p>
    <w:p w14:paraId="3992E222">
      <w:pPr>
        <w:pStyle w:val="4"/>
        <w:keepNext w:val="0"/>
        <w:keepLines w:val="0"/>
        <w:widowControl/>
        <w:suppressLineNumbers w:val="0"/>
        <w:jc w:val="left"/>
        <w:rPr>
          <w:rFonts w:hint="eastAsia" w:ascii="宋体" w:hAnsi="宋体" w:eastAsia="宋体" w:cs="宋体"/>
        </w:rPr>
      </w:pPr>
    </w:p>
    <w:p w14:paraId="2E8C20AC">
      <w:pPr>
        <w:pStyle w:val="4"/>
        <w:keepNext w:val="0"/>
        <w:keepLines w:val="0"/>
        <w:widowControl/>
        <w:suppressLineNumbers w:val="0"/>
        <w:jc w:val="left"/>
        <w:rPr>
          <w:rFonts w:hint="eastAsia" w:ascii="宋体" w:hAnsi="宋体" w:eastAsia="宋体" w:cs="宋体"/>
        </w:rPr>
      </w:pPr>
    </w:p>
    <w:p w14:paraId="6095B199">
      <w:pPr>
        <w:pStyle w:val="4"/>
        <w:keepNext w:val="0"/>
        <w:keepLines w:val="0"/>
        <w:widowControl/>
        <w:suppressLineNumbers w:val="0"/>
        <w:jc w:val="left"/>
        <w:rPr>
          <w:rFonts w:hint="eastAsia" w:ascii="宋体" w:hAnsi="宋体" w:eastAsia="宋体" w:cs="宋体"/>
        </w:rPr>
      </w:pPr>
    </w:p>
    <w:p w14:paraId="3876AD0D">
      <w:pPr>
        <w:pStyle w:val="4"/>
        <w:keepNext w:val="0"/>
        <w:keepLines w:val="0"/>
        <w:widowControl/>
        <w:suppressLineNumbers w:val="0"/>
        <w:jc w:val="left"/>
        <w:rPr>
          <w:rFonts w:hint="eastAsia" w:ascii="宋体" w:hAnsi="宋体" w:eastAsia="宋体" w:cs="宋体"/>
        </w:rPr>
      </w:pPr>
    </w:p>
    <w:p w14:paraId="3A427E3C">
      <w:pPr>
        <w:pStyle w:val="4"/>
        <w:keepNext w:val="0"/>
        <w:keepLines w:val="0"/>
        <w:widowControl/>
        <w:suppressLineNumbers w:val="0"/>
        <w:jc w:val="left"/>
        <w:rPr>
          <w:rFonts w:hint="eastAsia" w:ascii="宋体" w:hAnsi="宋体" w:eastAsia="宋体" w:cs="宋体"/>
        </w:rPr>
      </w:pPr>
    </w:p>
    <w:p w14:paraId="265D962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【NCR012】测试设备非等电位</w:t>
      </w:r>
    </w:p>
    <w:p w14:paraId="63AFEF1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：车间多台精密测试设备接地点位不同，设备之间存在电位差，跨设备取放物料时易产生电位放电，导致测试数据漂移、产品隐性不良。</w:t>
      </w:r>
    </w:p>
    <w:p w14:paraId="06E4143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全域设备等电位平衡要求</w:t>
      </w:r>
    </w:p>
    <w:p w14:paraId="0274056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精密测试设备等电位管控规范</w:t>
      </w:r>
    </w:p>
    <w:p w14:paraId="68FBDB3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687076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：立即对非等电位设备做临时等电位连接，复测设备间电位差，确保电位平衡后恢复测试作业。</w:t>
      </w:r>
    </w:p>
    <w:p w14:paraId="7A3B46A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设备接地施工无等电位统筹规划，点位分散杂乱；2. 无设备间电位平衡复测机制，隐患长期未发现；3. 测试人员不了解非等电位的测试干扰风险。</w:t>
      </w:r>
    </w:p>
    <w:p w14:paraId="23421A1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对所有精密测试设备统一做等电位跨接，接入同一接地铜排；2. 每季度开展设备间电位差专项检测，建立数据台账；3. 优化车间接地布局，实现测试区域设备全域等电位。</w:t>
      </w:r>
    </w:p>
    <w:p w14:paraId="1F647D1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：所有测试设备电位完全平衡，无电位差干扰，测试数据稳定，放电风险消除。</w:t>
      </w:r>
    </w:p>
    <w:p w14:paraId="3B65023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：定期复测设备电位平衡，新增设备同步做等电位对接。</w:t>
      </w:r>
    </w:p>
    <w:p w14:paraId="02A3558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：测试设备电位管控合规，隐患清零，可结案。</w:t>
      </w:r>
    </w:p>
    <w:p w14:paraId="17E94FA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精密测试设备对电位变化极度敏感，设备间微小电位差不仅会造成静电放电损伤产品，还会直接干扰测试精度，导致误判、漏判、测试不良漂移，影响产品品质管控准确性。该问题属于接地布局系统性缺陷，并非单点设备故障，需要全域统筹整改，是提升测试可靠性的关键。</w:t>
      </w:r>
    </w:p>
    <w:p w14:paraId="4033503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测试区域单独规划专用等电位接地铜排，专属供测试设备使用；2. 将电位平衡数据纳入设备日常点检记录；3. 设备移位、改造后必须重新做等电位检测验收。</w:t>
      </w:r>
    </w:p>
    <w:p w14:paraId="2FDA8D70">
      <w:pPr>
        <w:pStyle w:val="4"/>
        <w:keepNext w:val="0"/>
        <w:keepLines w:val="0"/>
        <w:widowControl/>
        <w:suppressLineNumbers w:val="0"/>
        <w:jc w:val="left"/>
        <w:rPr>
          <w:rFonts w:hint="eastAsia" w:ascii="宋体" w:hAnsi="宋体" w:eastAsia="宋体" w:cs="宋体"/>
        </w:rPr>
      </w:pPr>
    </w:p>
    <w:p w14:paraId="7D223AC2">
      <w:pPr>
        <w:pStyle w:val="4"/>
        <w:keepNext w:val="0"/>
        <w:keepLines w:val="0"/>
        <w:widowControl/>
        <w:suppressLineNumbers w:val="0"/>
        <w:jc w:val="left"/>
        <w:rPr>
          <w:rFonts w:hint="eastAsia" w:ascii="宋体" w:hAnsi="宋体" w:eastAsia="宋体" w:cs="宋体"/>
        </w:rPr>
      </w:pPr>
    </w:p>
    <w:p w14:paraId="7FEEDD76">
      <w:pPr>
        <w:pStyle w:val="4"/>
        <w:keepNext w:val="0"/>
        <w:keepLines w:val="0"/>
        <w:widowControl/>
        <w:suppressLineNumbers w:val="0"/>
        <w:jc w:val="left"/>
        <w:rPr>
          <w:rFonts w:hint="eastAsia" w:ascii="宋体" w:hAnsi="宋体" w:eastAsia="宋体" w:cs="宋体"/>
        </w:rPr>
      </w:pPr>
    </w:p>
    <w:p w14:paraId="36DBFB3B">
      <w:pPr>
        <w:pStyle w:val="4"/>
        <w:keepNext w:val="0"/>
        <w:keepLines w:val="0"/>
        <w:widowControl/>
        <w:suppressLineNumbers w:val="0"/>
        <w:jc w:val="left"/>
        <w:rPr>
          <w:rFonts w:hint="eastAsia" w:ascii="宋体" w:hAnsi="宋体" w:eastAsia="宋体" w:cs="宋体"/>
        </w:rPr>
      </w:pPr>
    </w:p>
    <w:p w14:paraId="24F339A3">
      <w:pPr>
        <w:pStyle w:val="4"/>
        <w:keepNext w:val="0"/>
        <w:keepLines w:val="0"/>
        <w:widowControl/>
        <w:suppressLineNumbers w:val="0"/>
        <w:jc w:val="left"/>
        <w:rPr>
          <w:rFonts w:hint="eastAsia" w:ascii="宋体" w:hAnsi="宋体" w:eastAsia="宋体" w:cs="宋体"/>
        </w:rPr>
      </w:pPr>
    </w:p>
    <w:p w14:paraId="183FD3F9">
      <w:pPr>
        <w:pStyle w:val="4"/>
        <w:keepNext w:val="0"/>
        <w:keepLines w:val="0"/>
        <w:widowControl/>
        <w:suppressLineNumbers w:val="0"/>
        <w:jc w:val="left"/>
        <w:rPr>
          <w:rFonts w:hint="eastAsia" w:ascii="宋体" w:hAnsi="宋体" w:eastAsia="宋体" w:cs="宋体"/>
        </w:rPr>
      </w:pPr>
    </w:p>
    <w:p w14:paraId="1E5C738A">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【NCR013】无季度接地复测记录</w:t>
      </w:r>
    </w:p>
    <w:p w14:paraId="1DC82A5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：车间接地系统长期未开展季度导通、电阻复测，无任何复测台账记录，接地性能变化无法追溯，无法及时发现接地老化、失效隐患。</w:t>
      </w:r>
    </w:p>
    <w:p w14:paraId="7B0EB83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接地系统周期性复测要求</w:t>
      </w:r>
    </w:p>
    <w:p w14:paraId="6D49F50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静电接地周期性检测溯源规范</w:t>
      </w:r>
    </w:p>
    <w:p w14:paraId="26E9069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910F31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：立即开展全域接地系统全面复测，补全阶段性复测记录，排查接地异常点位，临时完成闭环管控。</w:t>
      </w:r>
    </w:p>
    <w:p w14:paraId="2C3CD02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ESD体系文件缺失季度接地复测制度，管控流程空白；2. 设备、品质部门无周期性复测工作计划；3. 体系稽核未核查接地复测资料，监管缺位。</w:t>
      </w:r>
    </w:p>
    <w:p w14:paraId="414A363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修订ESD维保制度，明确每季度开展全域接地电阻、导通性能复测；2. 建立标准化接地复测台账，留存数据、签字、日期记录；3. 将复测工作纳入季度体系必查项。</w:t>
      </w:r>
    </w:p>
    <w:p w14:paraId="1D4C926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：已完成全域接地复测，台账记录完整可追溯，接地性能全部达标，复测机制正式落地。</w:t>
      </w:r>
    </w:p>
    <w:p w14:paraId="35A8629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：严格执行季度接地复测计划，杜绝漏测、无记录问题。</w:t>
      </w:r>
    </w:p>
    <w:p w14:paraId="3FD5FCF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：接地周期性管控闭环，体系合规，可结案。</w:t>
      </w:r>
    </w:p>
    <w:p w14:paraId="71C07FE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接地系统性能会随时间、环境、设备老化发生衰减，无季度复测机制属于典型的体系流程缺失，会导致接地隐患长期潜伏，无法提前预判失效风险。同时缺失复测记录会导致ESD体系无法溯源，不满足ANSI、IEC标准的周期性管控与可追溯要求，是审厂高频扣分项。</w:t>
      </w:r>
    </w:p>
    <w:p w14:paraId="5525B78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制定年度接地复测计划表，固定每季度复测时间、责任人；2. 对复测异常点位重点标记、跟踪整改、复查闭环；3. 复测报告统一归档，纳入年度体系审核资料。</w:t>
      </w:r>
    </w:p>
    <w:p w14:paraId="4DDAF046">
      <w:pPr>
        <w:pStyle w:val="4"/>
        <w:keepNext w:val="0"/>
        <w:keepLines w:val="0"/>
        <w:widowControl/>
        <w:suppressLineNumbers w:val="0"/>
        <w:jc w:val="left"/>
        <w:rPr>
          <w:rFonts w:hint="eastAsia" w:ascii="宋体" w:hAnsi="宋体" w:eastAsia="宋体" w:cs="宋体"/>
        </w:rPr>
      </w:pPr>
    </w:p>
    <w:p w14:paraId="2A1E70F9">
      <w:pPr>
        <w:pStyle w:val="4"/>
        <w:keepNext w:val="0"/>
        <w:keepLines w:val="0"/>
        <w:widowControl/>
        <w:suppressLineNumbers w:val="0"/>
        <w:jc w:val="left"/>
        <w:rPr>
          <w:rFonts w:hint="eastAsia" w:ascii="宋体" w:hAnsi="宋体" w:eastAsia="宋体" w:cs="宋体"/>
        </w:rPr>
      </w:pPr>
    </w:p>
    <w:p w14:paraId="08B946C1">
      <w:pPr>
        <w:pStyle w:val="4"/>
        <w:keepNext w:val="0"/>
        <w:keepLines w:val="0"/>
        <w:widowControl/>
        <w:suppressLineNumbers w:val="0"/>
        <w:jc w:val="left"/>
        <w:rPr>
          <w:rFonts w:hint="eastAsia" w:ascii="宋体" w:hAnsi="宋体" w:eastAsia="宋体" w:cs="宋体"/>
        </w:rPr>
      </w:pPr>
    </w:p>
    <w:p w14:paraId="2839950F">
      <w:pPr>
        <w:pStyle w:val="4"/>
        <w:keepNext w:val="0"/>
        <w:keepLines w:val="0"/>
        <w:widowControl/>
        <w:suppressLineNumbers w:val="0"/>
        <w:jc w:val="left"/>
        <w:rPr>
          <w:rFonts w:hint="eastAsia" w:ascii="宋体" w:hAnsi="宋体" w:eastAsia="宋体" w:cs="宋体"/>
        </w:rPr>
      </w:pPr>
    </w:p>
    <w:p w14:paraId="300A08A3">
      <w:pPr>
        <w:pStyle w:val="4"/>
        <w:keepNext w:val="0"/>
        <w:keepLines w:val="0"/>
        <w:widowControl/>
        <w:suppressLineNumbers w:val="0"/>
        <w:jc w:val="left"/>
        <w:rPr>
          <w:rFonts w:hint="eastAsia" w:ascii="宋体" w:hAnsi="宋体" w:eastAsia="宋体" w:cs="宋体"/>
        </w:rPr>
      </w:pPr>
    </w:p>
    <w:p w14:paraId="44B689E2">
      <w:pPr>
        <w:pStyle w:val="4"/>
        <w:keepNext w:val="0"/>
        <w:keepLines w:val="0"/>
        <w:widowControl/>
        <w:suppressLineNumbers w:val="0"/>
        <w:jc w:val="left"/>
        <w:rPr>
          <w:rFonts w:hint="eastAsia" w:ascii="宋体" w:hAnsi="宋体" w:eastAsia="宋体" w:cs="宋体"/>
        </w:rPr>
      </w:pPr>
    </w:p>
    <w:p w14:paraId="0010F50D">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【NCR014】接地螺丝锈蚀</w:t>
      </w:r>
    </w:p>
    <w:p w14:paraId="2AF1249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：多处接地固定螺丝出现锈蚀、发霉现象，螺丝紧固力度下降、接触电阻增大，导致接地导通不稳定，存在静电泄放异常隐患。</w:t>
      </w:r>
    </w:p>
    <w:p w14:paraId="0A81B67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接地配件完好导通要求</w:t>
      </w:r>
    </w:p>
    <w:p w14:paraId="625A946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接地紧固件运维管控规范</w:t>
      </w:r>
    </w:p>
    <w:p w14:paraId="1792A06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77DEE5F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：立即更换所有锈蚀接地螺丝，清洁接地点氧化层，复测接地导通性能，确保临时达标。</w:t>
      </w:r>
    </w:p>
    <w:p w14:paraId="777DB14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车间潮湿环境导致螺丝氧化锈蚀，无防潮防锈措施；2. 接地配件无定期检查更换机制，锈蚀问题长期遗留；3. 日常点检仅关注导通，忽略螺丝外观锈蚀隐患。</w:t>
      </w:r>
    </w:p>
    <w:p w14:paraId="6C31EFC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所有接地螺丝统一更换不锈钢防锈螺丝，杜绝锈蚀问题；2. 每月点检接地螺丝外观状态，锈蚀即时更换；3. 对接地点位做好防潮防护，降低环境腐蚀影响。</w:t>
      </w:r>
    </w:p>
    <w:p w14:paraId="3BFBDEF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：全域接地螺丝无锈蚀、紧固到位，接地点导通稳定，防护状态良好。</w:t>
      </w:r>
    </w:p>
    <w:p w14:paraId="7AA5664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：常态化点检螺丝状态，定期更换老化配件，优化环境管控。</w:t>
      </w:r>
    </w:p>
    <w:p w14:paraId="7218139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：接地配件运维合规，隐患清零，可结案。</w:t>
      </w:r>
    </w:p>
    <w:p w14:paraId="37C349E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接地螺丝锈蚀会逐步破坏接地连接可靠性，从轻微电阻增大到后期完全断路，属于渐进式ESD隐患。该问题暴露现场运维只重结果、不重细节的管控漏洞，微小配件缺陷长期累积会引发整体接地系统失效，直接影响车间静电防护稳定性。</w:t>
      </w:r>
    </w:p>
    <w:p w14:paraId="627EAB1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建立接地紧固件耗材台账，定期轮换更新；2. 潮湿区域接地点位重点防护、加密点检频次；3. 将螺丝锈蚀、松动纳入接地维保核心检查项。</w:t>
      </w:r>
    </w:p>
    <w:p w14:paraId="05122B81">
      <w:pPr>
        <w:pStyle w:val="4"/>
        <w:keepNext w:val="0"/>
        <w:keepLines w:val="0"/>
        <w:widowControl/>
        <w:suppressLineNumbers w:val="0"/>
        <w:jc w:val="left"/>
        <w:rPr>
          <w:rFonts w:hint="eastAsia" w:ascii="宋体" w:hAnsi="宋体" w:eastAsia="宋体" w:cs="宋体"/>
        </w:rPr>
      </w:pPr>
    </w:p>
    <w:p w14:paraId="4E4149F7">
      <w:pPr>
        <w:pStyle w:val="4"/>
        <w:keepNext w:val="0"/>
        <w:keepLines w:val="0"/>
        <w:widowControl/>
        <w:suppressLineNumbers w:val="0"/>
        <w:jc w:val="left"/>
        <w:rPr>
          <w:rFonts w:hint="eastAsia" w:ascii="宋体" w:hAnsi="宋体" w:eastAsia="宋体" w:cs="宋体"/>
        </w:rPr>
      </w:pPr>
    </w:p>
    <w:p w14:paraId="13F74A31">
      <w:pPr>
        <w:pStyle w:val="4"/>
        <w:keepNext w:val="0"/>
        <w:keepLines w:val="0"/>
        <w:widowControl/>
        <w:suppressLineNumbers w:val="0"/>
        <w:jc w:val="left"/>
        <w:rPr>
          <w:rFonts w:hint="eastAsia" w:ascii="宋体" w:hAnsi="宋体" w:eastAsia="宋体" w:cs="宋体"/>
        </w:rPr>
      </w:pPr>
    </w:p>
    <w:p w14:paraId="7605B20C">
      <w:pPr>
        <w:pStyle w:val="4"/>
        <w:keepNext w:val="0"/>
        <w:keepLines w:val="0"/>
        <w:widowControl/>
        <w:suppressLineNumbers w:val="0"/>
        <w:jc w:val="left"/>
        <w:rPr>
          <w:rFonts w:hint="eastAsia" w:ascii="宋体" w:hAnsi="宋体" w:eastAsia="宋体" w:cs="宋体"/>
        </w:rPr>
      </w:pPr>
    </w:p>
    <w:p w14:paraId="45A820C3">
      <w:pPr>
        <w:pStyle w:val="4"/>
        <w:keepNext w:val="0"/>
        <w:keepLines w:val="0"/>
        <w:widowControl/>
        <w:suppressLineNumbers w:val="0"/>
        <w:jc w:val="left"/>
        <w:rPr>
          <w:rFonts w:hint="eastAsia" w:ascii="宋体" w:hAnsi="宋体" w:eastAsia="宋体" w:cs="宋体"/>
        </w:rPr>
      </w:pPr>
    </w:p>
    <w:p w14:paraId="214DFC90">
      <w:pPr>
        <w:pStyle w:val="4"/>
        <w:keepNext w:val="0"/>
        <w:keepLines w:val="0"/>
        <w:widowControl/>
        <w:suppressLineNumbers w:val="0"/>
        <w:jc w:val="left"/>
        <w:rPr>
          <w:rFonts w:hint="eastAsia" w:ascii="宋体" w:hAnsi="宋体" w:eastAsia="宋体" w:cs="宋体"/>
        </w:rPr>
      </w:pPr>
    </w:p>
    <w:p w14:paraId="40172741">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【NCR015】私用临时电线替代接地</w:t>
      </w:r>
    </w:p>
    <w:p w14:paraId="242BB66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：现场发现部分工位私自使用普通临时电线、花线替代专用接地线做设备接地，线缆绝缘、导通性能不达标，存在接地失效、短路安全隐患。</w:t>
      </w:r>
    </w:p>
    <w:p w14:paraId="3C4E91F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专用防静电接地线缆使用要求</w:t>
      </w:r>
    </w:p>
    <w:p w14:paraId="33F922D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静电接地专用线材管控规范</w:t>
      </w:r>
    </w:p>
    <w:p w14:paraId="4DA20E1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7202F69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：立即拆除所有违规临时接地电线，停用违规接地工位，更换专用ESD接地线，复测合格后方可复工。</w:t>
      </w:r>
    </w:p>
    <w:p w14:paraId="6096EDF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现场专用接地线储备不足，员工私自替代使用；2. 员工ESD红线意识薄弱，随意更改接地配置；3. 现场巡检不严，违规接地行为未及时发现制止。</w:t>
      </w:r>
    </w:p>
    <w:p w14:paraId="7FF4E62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配齐车间专用ESD接地线耗材，杜绝线材短缺；2. 明确严禁私用普通电线替代接地线，纳入ESD违规考核；3. 常态化排查工位接地线材合规性。</w:t>
      </w:r>
    </w:p>
    <w:p w14:paraId="5335EAA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：全场无违规临时接地线路，所有工位均使用专用接地线，接地合规安全。</w:t>
      </w:r>
    </w:p>
    <w:p w14:paraId="66B39AB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：严格管控接地线材使用，杜绝私自改装、替代接地行为。</w:t>
      </w:r>
    </w:p>
    <w:p w14:paraId="5E849DD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：接地线材管控合规，风险闭环，可结案。</w:t>
      </w:r>
    </w:p>
    <w:p w14:paraId="3B1C006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普通临时电线无防静电专用导通、绝缘设计，线芯材质、线径不满足ESD接地标准，无法稳定泄放静电，且易发热短路、老化漏电，既存在电气安全隐患，又完全丧失静电防护能力。私自改接属于主观违规操作，暴露现场管控执行力不足、红线意识薄弱的管理问题。</w:t>
      </w:r>
    </w:p>
    <w:p w14:paraId="397719A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统一配发专用ESD接地线材，规范走线标准；2. 开展违规接地案例警示教育，强化员工红线意识；3. 将接地线材合规性纳入每日稽查必查项。</w:t>
      </w:r>
    </w:p>
    <w:p w14:paraId="0F2F445C">
      <w:pPr>
        <w:rPr>
          <w:rFonts w:hint="eastAsia" w:ascii="宋体" w:hAnsi="宋体" w:eastAsia="宋体" w:cs="宋体"/>
        </w:rPr>
      </w:pPr>
    </w:p>
    <w:p w14:paraId="3FEC1FD2">
      <w:pPr>
        <w:pStyle w:val="4"/>
        <w:keepNext w:val="0"/>
        <w:keepLines w:val="0"/>
        <w:widowControl/>
        <w:suppressLineNumbers w:val="0"/>
        <w:jc w:val="left"/>
        <w:rPr>
          <w:rFonts w:hint="eastAsia" w:ascii="宋体" w:hAnsi="宋体" w:eastAsia="宋体" w:cs="宋体"/>
        </w:rPr>
      </w:pPr>
    </w:p>
    <w:p w14:paraId="37249DFE">
      <w:pPr>
        <w:pStyle w:val="4"/>
        <w:keepNext w:val="0"/>
        <w:keepLines w:val="0"/>
        <w:widowControl/>
        <w:suppressLineNumbers w:val="0"/>
        <w:jc w:val="left"/>
        <w:rPr>
          <w:rFonts w:hint="eastAsia" w:ascii="宋体" w:hAnsi="宋体" w:eastAsia="宋体" w:cs="宋体"/>
        </w:rPr>
      </w:pPr>
    </w:p>
    <w:p w14:paraId="0AF12B17">
      <w:pPr>
        <w:pStyle w:val="4"/>
        <w:keepNext w:val="0"/>
        <w:keepLines w:val="0"/>
        <w:widowControl/>
        <w:suppressLineNumbers w:val="0"/>
        <w:jc w:val="left"/>
        <w:rPr>
          <w:rFonts w:hint="eastAsia" w:ascii="宋体" w:hAnsi="宋体" w:eastAsia="宋体" w:cs="宋体"/>
        </w:rPr>
      </w:pPr>
    </w:p>
    <w:p w14:paraId="0FC90C00">
      <w:pPr>
        <w:pStyle w:val="4"/>
        <w:keepNext w:val="0"/>
        <w:keepLines w:val="0"/>
        <w:widowControl/>
        <w:suppressLineNumbers w:val="0"/>
        <w:jc w:val="left"/>
        <w:rPr>
          <w:rFonts w:hint="eastAsia" w:ascii="宋体" w:hAnsi="宋体" w:eastAsia="宋体" w:cs="宋体"/>
        </w:rPr>
      </w:pPr>
    </w:p>
    <w:p w14:paraId="577B9A83">
      <w:pPr>
        <w:pStyle w:val="4"/>
        <w:keepNext w:val="0"/>
        <w:keepLines w:val="0"/>
        <w:widowControl/>
        <w:suppressLineNumbers w:val="0"/>
        <w:jc w:val="left"/>
        <w:rPr>
          <w:rFonts w:hint="eastAsia" w:ascii="宋体" w:hAnsi="宋体" w:eastAsia="宋体" w:cs="宋体"/>
        </w:rPr>
      </w:pPr>
    </w:p>
    <w:p w14:paraId="503600BE">
      <w:pPr>
        <w:rPr>
          <w:rFonts w:hint="eastAsia" w:ascii="宋体" w:hAnsi="宋体" w:eastAsia="宋体" w:cs="宋体"/>
        </w:rPr>
      </w:pPr>
    </w:p>
    <w:p w14:paraId="79786EBC">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【NCR016】屏蔽箱体缝隙静电泄漏</w:t>
      </w:r>
    </w:p>
    <w:p w14:paraId="07FDABF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：精密测试屏蔽箱体门缝、接线孔缝隙过大，无屏蔽密封处理，工作过程中存在静电、电磁泄漏，屏蔽防护效果下降，干扰精密测试、损伤敏感元器件。</w:t>
      </w:r>
    </w:p>
    <w:p w14:paraId="789326E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5.3 静电屏蔽设备密封防护要求</w:t>
      </w:r>
    </w:p>
    <w:p w14:paraId="0AADFB7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5.3 屏蔽箱体静电密封管控规范</w:t>
      </w:r>
    </w:p>
    <w:p w14:paraId="0EFEEE5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F209FB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：临时对箱体缝隙做密封处理，复测屏蔽性能，暂时保障防护有效，全面排查所有屏蔽箱体密封状态。</w:t>
      </w:r>
    </w:p>
    <w:p w14:paraId="37D3C36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屏蔽箱体无密封维保标准，出厂及使用后未做缝隙防护；2. 设备长期开合使用导致缝隙扩大，无定期校准维护；3. 日常点检未关注屏蔽密封性能。</w:t>
      </w:r>
    </w:p>
    <w:p w14:paraId="607E65E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为所有屏蔽箱体加装防静电密封胶条、屏蔽弹片；2. 制定箱体维保SOP，定期校准缝隙、更换密封配件；3. 将屏蔽性能、密封状态纳入月度设备检测。</w:t>
      </w:r>
    </w:p>
    <w:p w14:paraId="295A493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：所有屏蔽箱体缝隙密封完好，无静电泄漏，屏蔽防护性能达标。</w:t>
      </w:r>
    </w:p>
    <w:p w14:paraId="14DC747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：定期维保密封配件，常态化检测屏蔽性能。</w:t>
      </w:r>
    </w:p>
    <w:p w14:paraId="021872B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：屏蔽设备防护完善，隐患清零，可结案。</w:t>
      </w:r>
    </w:p>
    <w:p w14:paraId="5F2F6C0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屏蔽箱体是精密测试环节的核心防护设备，缝隙泄漏会导致外部静电、电磁干扰进入箱体内部，破坏局部静电平衡与测试环境，造成测试数据偏差、元器件隐性击穿。多数屏蔽箱体仅关注主体接地，忽略缝隙密封防护，长期使用后缝隙形变、密封老化会持续弱化屏蔽效能，属于典型的细节型长效隐患，会直接影响精密测试良率与产品可靠性，是高端电子制程ESD管控的关键盲点。</w:t>
      </w:r>
    </w:p>
    <w:p w14:paraId="0B1A897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建立屏蔽箱体专项维保台账，按月检查密封胶条、屏蔽弹片完整性，老化配件即时更换；2. 设备维护后必须复测屏蔽性能，确认无泄漏方可投入使用；3. 制定屏蔽箱体使用规范，严禁强行开合、磕碰导致缝隙形变。</w:t>
      </w:r>
    </w:p>
    <w:p w14:paraId="7427C464">
      <w:pPr>
        <w:pStyle w:val="4"/>
        <w:keepNext w:val="0"/>
        <w:keepLines w:val="0"/>
        <w:widowControl/>
        <w:suppressLineNumbers w:val="0"/>
        <w:jc w:val="left"/>
        <w:rPr>
          <w:rFonts w:hint="eastAsia" w:ascii="宋体" w:hAnsi="宋体" w:eastAsia="宋体" w:cs="宋体"/>
        </w:rPr>
      </w:pPr>
    </w:p>
    <w:p w14:paraId="0FBAB480">
      <w:pPr>
        <w:pStyle w:val="4"/>
        <w:keepNext w:val="0"/>
        <w:keepLines w:val="0"/>
        <w:widowControl/>
        <w:suppressLineNumbers w:val="0"/>
        <w:jc w:val="left"/>
        <w:rPr>
          <w:rFonts w:hint="eastAsia" w:ascii="宋体" w:hAnsi="宋体" w:eastAsia="宋体" w:cs="宋体"/>
        </w:rPr>
      </w:pPr>
    </w:p>
    <w:p w14:paraId="35E533F1">
      <w:pPr>
        <w:pStyle w:val="4"/>
        <w:keepNext w:val="0"/>
        <w:keepLines w:val="0"/>
        <w:widowControl/>
        <w:suppressLineNumbers w:val="0"/>
        <w:jc w:val="left"/>
        <w:rPr>
          <w:rFonts w:hint="eastAsia" w:ascii="宋体" w:hAnsi="宋体" w:eastAsia="宋体" w:cs="宋体"/>
        </w:rPr>
      </w:pPr>
    </w:p>
    <w:p w14:paraId="1C473A03">
      <w:pPr>
        <w:pStyle w:val="4"/>
        <w:keepNext w:val="0"/>
        <w:keepLines w:val="0"/>
        <w:widowControl/>
        <w:suppressLineNumbers w:val="0"/>
        <w:jc w:val="left"/>
        <w:rPr>
          <w:rFonts w:hint="eastAsia" w:ascii="宋体" w:hAnsi="宋体" w:eastAsia="宋体" w:cs="宋体"/>
        </w:rPr>
      </w:pPr>
    </w:p>
    <w:p w14:paraId="55988873">
      <w:pPr>
        <w:pStyle w:val="4"/>
        <w:keepNext w:val="0"/>
        <w:keepLines w:val="0"/>
        <w:widowControl/>
        <w:suppressLineNumbers w:val="0"/>
        <w:jc w:val="left"/>
        <w:rPr>
          <w:rFonts w:hint="eastAsia" w:ascii="宋体" w:hAnsi="宋体" w:eastAsia="宋体" w:cs="宋体"/>
        </w:rPr>
      </w:pPr>
    </w:p>
    <w:p w14:paraId="025A3E38">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【NCR017】测试探头屏蔽接地不良</w:t>
      </w:r>
    </w:p>
    <w:p w14:paraId="3817F46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：精密测试仪器探头屏蔽层接地虚接、断线，屏蔽接地回路不通，探头处于无屏蔽防护状态，测试过程中易吸附环境静电、电磁干扰，造成测试误判、芯片静电损伤。</w:t>
      </w:r>
    </w:p>
    <w:p w14:paraId="640E7A0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测试配件屏蔽接地防护要求</w:t>
      </w:r>
    </w:p>
    <w:p w14:paraId="34837D2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精密测试探头静电屏蔽接地规范</w:t>
      </w:r>
    </w:p>
    <w:p w14:paraId="78D8546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0D65FD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：立即停用所有接地不良测试探头，临时检修、重新焊接固定屏蔽接地，复测接地导通合格后方可恢复使用，全面排查所有测试探头接地状态。</w:t>
      </w:r>
    </w:p>
    <w:p w14:paraId="3600C63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测试探头频繁插拔、弯折，导致屏蔽接地线疲劳断裂、虚接；2. 日常点检仅核查仪器主机，忽略探头、连接线等附属配件接地状态；3. 无探头周期性检修、更换机制，老化隐患长期留存。</w:t>
      </w:r>
    </w:p>
    <w:p w14:paraId="416C8BB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规范探头使用、收纳方式，避免过度弯折、拉扯线路；2. 新增探头月度专项点检，重点核查屏蔽接地导通、外皮完好性；3. 建立探头耗材更换周期，到期强制更换，杜绝老化带病使用。</w:t>
      </w:r>
    </w:p>
    <w:p w14:paraId="2DDDDFF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：所有测试探头屏蔽接地导通正常，无虚接、断线问题，屏蔽防护功能完全恢复，测试环境稳定。</w:t>
      </w:r>
    </w:p>
    <w:p w14:paraId="4779F8B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：常态化落实探头日常点检与月度专项检修，规范操作收纳流程。</w:t>
      </w:r>
    </w:p>
    <w:p w14:paraId="3A822A9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：测试探头屏蔽接地管控闭环，隐患清零，可结案。</w:t>
      </w:r>
    </w:p>
    <w:p w14:paraId="4613467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测试探头直接接触精密元器件，是静电传导、干扰入侵的最前端通道。屏蔽接地不良会导致探头完全丧失静电屏蔽能力，环境微量静电即可通过探头直接作用于产品，造成隐性击穿、参数偏移，同时引发测试数据波动、误判漏判。该隐患隐蔽性极强，无明显外观异常，仅会间歇性出现不良，难以溯源排查，是精密测试制程高发质量隐患。</w:t>
      </w:r>
    </w:p>
    <w:p w14:paraId="24E1DE1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为高频使用探头配备防护收纳套，减少弯折磨损；2. 将探头屏蔽接地电阻纳入仪器点检核心数据记录；3. 建立探头领用、检修、更换台账，实现全生命周期管控。</w:t>
      </w:r>
    </w:p>
    <w:p w14:paraId="2648508F">
      <w:pPr>
        <w:pStyle w:val="4"/>
        <w:keepNext w:val="0"/>
        <w:keepLines w:val="0"/>
        <w:widowControl/>
        <w:suppressLineNumbers w:val="0"/>
        <w:jc w:val="left"/>
        <w:rPr>
          <w:rFonts w:hint="eastAsia" w:ascii="宋体" w:hAnsi="宋体" w:eastAsia="宋体" w:cs="宋体"/>
        </w:rPr>
      </w:pPr>
    </w:p>
    <w:p w14:paraId="5FA3C9F7">
      <w:pPr>
        <w:pStyle w:val="4"/>
        <w:keepNext w:val="0"/>
        <w:keepLines w:val="0"/>
        <w:widowControl/>
        <w:suppressLineNumbers w:val="0"/>
        <w:jc w:val="left"/>
        <w:rPr>
          <w:rFonts w:hint="eastAsia" w:ascii="宋体" w:hAnsi="宋体" w:eastAsia="宋体" w:cs="宋体"/>
        </w:rPr>
      </w:pPr>
    </w:p>
    <w:p w14:paraId="078AD788">
      <w:pPr>
        <w:pStyle w:val="4"/>
        <w:keepNext w:val="0"/>
        <w:keepLines w:val="0"/>
        <w:widowControl/>
        <w:suppressLineNumbers w:val="0"/>
        <w:jc w:val="left"/>
        <w:rPr>
          <w:rFonts w:hint="eastAsia" w:ascii="宋体" w:hAnsi="宋体" w:eastAsia="宋体" w:cs="宋体"/>
        </w:rPr>
      </w:pPr>
    </w:p>
    <w:p w14:paraId="64B6D4E1">
      <w:pPr>
        <w:pStyle w:val="4"/>
        <w:keepNext w:val="0"/>
        <w:keepLines w:val="0"/>
        <w:widowControl/>
        <w:suppressLineNumbers w:val="0"/>
        <w:jc w:val="left"/>
        <w:rPr>
          <w:rFonts w:hint="eastAsia" w:ascii="宋体" w:hAnsi="宋体" w:eastAsia="宋体" w:cs="宋体"/>
        </w:rPr>
      </w:pPr>
    </w:p>
    <w:p w14:paraId="5B162961">
      <w:pPr>
        <w:pStyle w:val="4"/>
        <w:keepNext w:val="0"/>
        <w:keepLines w:val="0"/>
        <w:widowControl/>
        <w:suppressLineNumbers w:val="0"/>
        <w:jc w:val="left"/>
        <w:rPr>
          <w:rFonts w:hint="eastAsia" w:ascii="宋体" w:hAnsi="宋体" w:eastAsia="宋体" w:cs="宋体"/>
        </w:rPr>
      </w:pPr>
    </w:p>
    <w:p w14:paraId="2C0B233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【NCR018】工装多点接地环流</w:t>
      </w:r>
    </w:p>
    <w:p w14:paraId="7D58AE9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：复合型测试工装存在多处接地点位，不同接地点电位差异引发接地环流，工装表面产生感应静电，作业过程中易对敏感元器件产生放电干扰。</w:t>
      </w:r>
    </w:p>
    <w:p w14:paraId="5E5B968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工装等电位单点接地要求</w:t>
      </w:r>
    </w:p>
    <w:p w14:paraId="786838C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防静电工装接地环流管控规范</w:t>
      </w:r>
    </w:p>
    <w:p w14:paraId="25847AB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482012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：立即整改工装多点接地模式，临时保留单一接地点，断开多余接地回路，复测工装电位无环流、无静电残留后复工。</w:t>
      </w:r>
    </w:p>
    <w:p w14:paraId="1F41809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工装设计阶段未规避多点接地问题，接地布局不合理；2. 运维人员不了解接地环流的产生原理与危害，随意增设接地点位；3. 工装接地状态无专项校验机制，环流隐患长期未发现。</w:t>
      </w:r>
    </w:p>
    <w:p w14:paraId="240B62F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统一所有复合型工装接地标准，执行「单机工装单点接地」原则；2. 对全域工装接地回路逐一梳理整改，彻底消除接地环流隐患；3. 将工装电位、环流检测纳入季度ESD专项稽查项目。</w:t>
      </w:r>
    </w:p>
    <w:p w14:paraId="34D1FBC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：所有工装均实现单点独立接地，接地环流完全消除，工装电位稳定无感应静电。</w:t>
      </w:r>
    </w:p>
    <w:p w14:paraId="5CE99E8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：新增、改造工装必须审核接地方案，杜绝多点接地，定期抽检电位状态。</w:t>
      </w:r>
    </w:p>
    <w:p w14:paraId="09A349F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：工装接地布局合规，环流风险清零，可结案。</w:t>
      </w:r>
    </w:p>
    <w:p w14:paraId="32C83C1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接地环流是极易被忽视的高阶ESD隐性隐患，多点接地形成的闭合回路会产生持续微弱电流，让工装表面累积感应静电，无高压预警但会持续损伤超低耐压精密元器件。此类问题不会引发批量显性不良，只会造成零星隐性失效、客户端偶发故障，质量溯源难度极大，属于体系深层次管控漏洞。</w:t>
      </w:r>
    </w:p>
    <w:p w14:paraId="2004931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工装设计规范中明确禁止多点接地，从源头规避环流问题；2. 每季度开展工装接地环流专项检测，建立电位监测台账；3. 针对技术、运维人员开展接地环流专项知识培训。</w:t>
      </w:r>
    </w:p>
    <w:p w14:paraId="73307900">
      <w:pPr>
        <w:pStyle w:val="4"/>
        <w:keepNext w:val="0"/>
        <w:keepLines w:val="0"/>
        <w:widowControl/>
        <w:suppressLineNumbers w:val="0"/>
        <w:jc w:val="left"/>
        <w:rPr>
          <w:rFonts w:hint="eastAsia" w:ascii="宋体" w:hAnsi="宋体" w:eastAsia="宋体" w:cs="宋体"/>
        </w:rPr>
      </w:pPr>
    </w:p>
    <w:p w14:paraId="40442030">
      <w:pPr>
        <w:pStyle w:val="4"/>
        <w:keepNext w:val="0"/>
        <w:keepLines w:val="0"/>
        <w:widowControl/>
        <w:suppressLineNumbers w:val="0"/>
        <w:jc w:val="left"/>
        <w:rPr>
          <w:rFonts w:hint="eastAsia" w:ascii="宋体" w:hAnsi="宋体" w:eastAsia="宋体" w:cs="宋体"/>
        </w:rPr>
      </w:pPr>
    </w:p>
    <w:p w14:paraId="22982D79">
      <w:pPr>
        <w:pStyle w:val="4"/>
        <w:keepNext w:val="0"/>
        <w:keepLines w:val="0"/>
        <w:widowControl/>
        <w:suppressLineNumbers w:val="0"/>
        <w:jc w:val="left"/>
        <w:rPr>
          <w:rFonts w:hint="eastAsia" w:ascii="宋体" w:hAnsi="宋体" w:eastAsia="宋体" w:cs="宋体"/>
        </w:rPr>
      </w:pPr>
    </w:p>
    <w:p w14:paraId="238F53D0">
      <w:pPr>
        <w:pStyle w:val="4"/>
        <w:keepNext w:val="0"/>
        <w:keepLines w:val="0"/>
        <w:widowControl/>
        <w:suppressLineNumbers w:val="0"/>
        <w:jc w:val="left"/>
        <w:rPr>
          <w:rFonts w:hint="eastAsia" w:ascii="宋体" w:hAnsi="宋体" w:eastAsia="宋体" w:cs="宋体"/>
        </w:rPr>
      </w:pPr>
    </w:p>
    <w:p w14:paraId="7AA9C1A6">
      <w:pPr>
        <w:pStyle w:val="4"/>
        <w:keepNext w:val="0"/>
        <w:keepLines w:val="0"/>
        <w:widowControl/>
        <w:suppressLineNumbers w:val="0"/>
        <w:jc w:val="left"/>
        <w:rPr>
          <w:rFonts w:hint="eastAsia" w:ascii="宋体" w:hAnsi="宋体" w:eastAsia="宋体" w:cs="宋体"/>
        </w:rPr>
      </w:pPr>
    </w:p>
    <w:p w14:paraId="257058CF">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【NCR019】接地测试仪超期未校</w:t>
      </w:r>
    </w:p>
    <w:p w14:paraId="3D365F1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：车间接地电阻测试仪、静电导通测试仪校准有效期过期，未及时送检校准，仪器检测数据精度无法保证，接地性能检测结果存在失真风险。</w:t>
      </w:r>
    </w:p>
    <w:p w14:paraId="2421065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检测仪器周期性校准要求</w:t>
      </w:r>
    </w:p>
    <w:p w14:paraId="50B8D02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静电检测设备量值溯源规范</w:t>
      </w:r>
    </w:p>
    <w:p w14:paraId="67EF6CA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74C506B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：立即停用超期未校测试仪，启用备用在校合格仪器开展接地检测，将超期仪器送第三方机构紧急校准，暂停超期仪器所有检测工作。</w:t>
      </w:r>
    </w:p>
    <w:p w14:paraId="6E252B1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仪器校准台账管理疏漏，未精准统计到期校准设备；2. 无校准到期提前预警机制，导致超期漏校；3. 设备管理人员量值溯源意识薄弱，忽视仪器校准合规性。</w:t>
      </w:r>
    </w:p>
    <w:p w14:paraId="11614CA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完善仪器校准台账，标注校准日期、有效期、责任人；2. 建立校准到期提前15天预警机制，杜绝超期漏校；3. 明确超期仪器禁止使用、禁止出具检测数据的管控红线。</w:t>
      </w:r>
    </w:p>
    <w:p w14:paraId="5600D81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：超期仪器已完成校准并取回合格证书，所有检测仪器均在校有效期内，检测数据精准可靠，台账完整可追溯。</w:t>
      </w:r>
    </w:p>
    <w:p w14:paraId="028274A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：严格执行校准预警机制，常态化核查仪器校准状态，杜绝超期使用。</w:t>
      </w:r>
    </w:p>
    <w:p w14:paraId="46DFD9F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：仪器校准管控闭环，量值溯源合规，可结案。</w:t>
      </w:r>
    </w:p>
    <w:p w14:paraId="7B2BF22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接地测试仪超期未校属于体系合规性核心问题，ESD所有接地检测、整改验证数据均依托该仪器输出，仪器失准会导致所有接地检测数据无效，出现「假合格、真隐患」的管控乱象。不仅违反双标准量值溯源要求，审厂必判不合格，还会导致车间接地失效、静电超标等问题无法被及时发现，埋下批量质量风险。</w:t>
      </w:r>
    </w:p>
    <w:p w14:paraId="26C68F3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搭建仪器校准月度排查、季度复盘机制，杜绝漏校、超校；2. 所有仪器张贴清晰校准标签，标注有效期，实现目视化管控；3. 留存全套校准证书、溯源资料，建立电子化归档台账。</w:t>
      </w:r>
    </w:p>
    <w:p w14:paraId="2C5AA997">
      <w:pPr>
        <w:pStyle w:val="4"/>
        <w:keepNext w:val="0"/>
        <w:keepLines w:val="0"/>
        <w:widowControl/>
        <w:suppressLineNumbers w:val="0"/>
        <w:jc w:val="left"/>
        <w:rPr>
          <w:rFonts w:hint="eastAsia" w:ascii="宋体" w:hAnsi="宋体" w:eastAsia="宋体" w:cs="宋体"/>
        </w:rPr>
      </w:pPr>
    </w:p>
    <w:p w14:paraId="30E5B0EA">
      <w:pPr>
        <w:pStyle w:val="4"/>
        <w:keepNext w:val="0"/>
        <w:keepLines w:val="0"/>
        <w:widowControl/>
        <w:suppressLineNumbers w:val="0"/>
        <w:jc w:val="left"/>
        <w:rPr>
          <w:rFonts w:hint="eastAsia" w:ascii="宋体" w:hAnsi="宋体" w:eastAsia="宋体" w:cs="宋体"/>
        </w:rPr>
      </w:pPr>
    </w:p>
    <w:p w14:paraId="0B432286">
      <w:pPr>
        <w:pStyle w:val="4"/>
        <w:keepNext w:val="0"/>
        <w:keepLines w:val="0"/>
        <w:widowControl/>
        <w:suppressLineNumbers w:val="0"/>
        <w:jc w:val="left"/>
        <w:rPr>
          <w:rFonts w:hint="eastAsia" w:ascii="宋体" w:hAnsi="宋体" w:eastAsia="宋体" w:cs="宋体"/>
        </w:rPr>
      </w:pPr>
    </w:p>
    <w:p w14:paraId="7439E3E3">
      <w:pPr>
        <w:pStyle w:val="4"/>
        <w:keepNext w:val="0"/>
        <w:keepLines w:val="0"/>
        <w:widowControl/>
        <w:suppressLineNumbers w:val="0"/>
        <w:jc w:val="left"/>
        <w:rPr>
          <w:rFonts w:hint="eastAsia" w:ascii="宋体" w:hAnsi="宋体" w:eastAsia="宋体" w:cs="宋体"/>
        </w:rPr>
      </w:pPr>
    </w:p>
    <w:p w14:paraId="524FD787">
      <w:pPr>
        <w:pStyle w:val="4"/>
        <w:keepNext w:val="0"/>
        <w:keepLines w:val="0"/>
        <w:widowControl/>
        <w:suppressLineNumbers w:val="0"/>
        <w:jc w:val="left"/>
        <w:rPr>
          <w:rFonts w:hint="eastAsia" w:ascii="宋体" w:hAnsi="宋体" w:eastAsia="宋体" w:cs="宋体"/>
        </w:rPr>
      </w:pPr>
    </w:p>
    <w:p w14:paraId="47DF578C">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【NCR020】地线与动力线捆绑干扰</w:t>
      </w:r>
    </w:p>
    <w:p w14:paraId="219AB36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：车间部分工位ESD专用接地线与强电动力线缆捆绑走线、同管布设，动力线工作产生的电磁干扰会耦合至接地回路，导致接地电位波动、静电泄放不稳定。</w:t>
      </w:r>
    </w:p>
    <w:p w14:paraId="31B4DED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接地回路抗干扰布线要求</w:t>
      </w:r>
    </w:p>
    <w:p w14:paraId="313F6A8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静电接地线路隔离布线规范</w:t>
      </w:r>
    </w:p>
    <w:p w14:paraId="66223ED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EA3AAD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：立即拆分所有捆绑走线的地线与动力线，临时分开布设，消除电磁耦合干扰，复测接地电位稳定后方可继续作业。</w:t>
      </w:r>
    </w:p>
    <w:p w14:paraId="26A9760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车间前期布线无强弱电隔离标准，ESD地线与动力线混布；2. 电工、运维人员不了解动力线对ESD接地的电磁干扰危害；3. 日常线路巡检仅核查通断，忽略布线合规性与隔离要求。</w:t>
      </w:r>
    </w:p>
    <w:p w14:paraId="694BD64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修订车间布线规范，明确ESD防静电地线与强电动力线必须分槽、分管独立布设，严禁捆绑混走；2. 全域整改违规布线，实现强弱电线路完全物理隔离；3. 将布线隔离合规性纳入月度线路专项稽查。</w:t>
      </w:r>
    </w:p>
    <w:p w14:paraId="6AA8396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：所有地线与动力线完全拆分隔离，无捆绑、无混布，接地电位波动消除，静电泄放回路稳定。</w:t>
      </w:r>
    </w:p>
    <w:p w14:paraId="02B0EBA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：新增线路施工严格执行隔离布线标准，定期核查现场布线合规性。</w:t>
      </w:r>
    </w:p>
    <w:p w14:paraId="67DB6E8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：线路布线合规，电磁干扰隐患清零，可结案。</w:t>
      </w:r>
    </w:p>
    <w:p w14:paraId="3BE5962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强电动力线工作时会产生交变电磁场，与ESD地线捆绑会通过电磁耦合改变接地回路电位，导致接地电阻波动、静电泄放速度不稳定。精密电子作业对静电泄放稳定性要求极高，电位波动会引发间歇性静电放电、测试数据漂移，属于典型的布线设计缺陷引发的系统性ESD干扰隐患，长期存在会持续影响产品良率。</w:t>
      </w:r>
    </w:p>
    <w:p w14:paraId="3EED9A5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采用不同颜色、不同线槽区分ESD地线与动力线，实现目视化隔离；2. 关键精密工位地线加装屏蔽套管，进一步规避电磁干扰；3. 线路改造、新增布线必须经ESD专员验收合格后方可投用。</w:t>
      </w:r>
    </w:p>
    <w:p w14:paraId="4C09B9A6">
      <w:pPr>
        <w:pStyle w:val="3"/>
        <w:keepNext w:val="0"/>
        <w:keepLines w:val="0"/>
        <w:widowControl/>
        <w:suppressLineNumbers w:val="0"/>
        <w:jc w:val="left"/>
        <w:rPr>
          <w:rFonts w:hint="eastAsia" w:ascii="宋体" w:hAnsi="宋体" w:eastAsia="宋体" w:cs="宋体"/>
        </w:rPr>
      </w:pPr>
    </w:p>
    <w:p w14:paraId="60258E7B">
      <w:pPr>
        <w:pStyle w:val="3"/>
        <w:keepNext w:val="0"/>
        <w:keepLines w:val="0"/>
        <w:widowControl/>
        <w:suppressLineNumbers w:val="0"/>
        <w:jc w:val="left"/>
        <w:rPr>
          <w:rFonts w:hint="eastAsia" w:ascii="宋体" w:hAnsi="宋体" w:eastAsia="宋体" w:cs="宋体"/>
        </w:rPr>
      </w:pPr>
    </w:p>
    <w:p w14:paraId="7DE55D1A">
      <w:pPr>
        <w:pStyle w:val="3"/>
        <w:keepNext w:val="0"/>
        <w:keepLines w:val="0"/>
        <w:widowControl/>
        <w:suppressLineNumbers w:val="0"/>
        <w:jc w:val="left"/>
        <w:rPr>
          <w:rFonts w:hint="eastAsia" w:ascii="宋体" w:hAnsi="宋体" w:eastAsia="宋体" w:cs="宋体"/>
        </w:rPr>
      </w:pPr>
    </w:p>
    <w:p w14:paraId="1738477E">
      <w:pPr>
        <w:pStyle w:val="3"/>
        <w:keepNext w:val="0"/>
        <w:keepLines w:val="0"/>
        <w:widowControl/>
        <w:suppressLineNumbers w:val="0"/>
        <w:jc w:val="left"/>
        <w:rPr>
          <w:rFonts w:hint="eastAsia" w:ascii="宋体" w:hAnsi="宋体" w:eastAsia="宋体" w:cs="宋体"/>
        </w:rPr>
      </w:pPr>
    </w:p>
    <w:p w14:paraId="29906A0E">
      <w:pPr>
        <w:pStyle w:val="3"/>
        <w:keepNext w:val="0"/>
        <w:keepLines w:val="0"/>
        <w:widowControl/>
        <w:suppressLineNumbers w:val="0"/>
        <w:jc w:val="left"/>
        <w:rPr>
          <w:rFonts w:hint="eastAsia" w:ascii="宋体" w:hAnsi="宋体" w:eastAsia="宋体" w:cs="宋体"/>
        </w:rPr>
      </w:pPr>
    </w:p>
    <w:p w14:paraId="4F22585A">
      <w:pPr>
        <w:pStyle w:val="3"/>
        <w:keepNext w:val="0"/>
        <w:keepLines w:val="0"/>
        <w:widowControl/>
        <w:suppressLineNumbers w:val="0"/>
        <w:jc w:val="left"/>
        <w:rPr>
          <w:rFonts w:hint="eastAsia" w:ascii="宋体" w:hAnsi="宋体" w:eastAsia="宋体" w:cs="宋体"/>
        </w:rPr>
      </w:pPr>
      <w:r>
        <w:rPr>
          <w:rFonts w:hint="eastAsia" w:ascii="宋体" w:hAnsi="宋体" w:eastAsia="宋体" w:cs="宋体"/>
        </w:rPr>
        <w:t>模块二 EPA区域环境与标识类（NCR021–NCR040）</w:t>
      </w:r>
    </w:p>
    <w:p w14:paraId="0D160763">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【NCR021】EPA无警示标识</w:t>
      </w:r>
    </w:p>
    <w:p w14:paraId="4F91736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：车间部分防静电工作区（EPA）边界、入口未张贴标准ESD警示标识，无防静电作业提示，无法区分防静电区域与普通区域，人员作业无规范指引。</w:t>
      </w:r>
    </w:p>
    <w:p w14:paraId="615871E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EPA区域标识警示要求</w:t>
      </w:r>
    </w:p>
    <w:p w14:paraId="28070C4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静电防护区域标识规范</w:t>
      </w:r>
    </w:p>
    <w:p w14:paraId="50E3D7D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2BB3DE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：立即梳理所有EPA区域边界、入口，临时张贴标准ESD警示标识，明确区域属性，规范现场作业认知。</w:t>
      </w:r>
    </w:p>
    <w:p w14:paraId="1593677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区域规划完成后未同步配置警示标识，标准化配套缺失；2. 日常稽核未关注区域标识完整性，管控存在盲区；3. 现场无标识维护、补换机制，脱落缺失未及时处理。</w:t>
      </w:r>
    </w:p>
    <w:p w14:paraId="699BF87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统一采购标准ESD警示标识，全覆盖张贴所有EPA入口、边界、关键工位；2. 将标识完好、清晰、规范纳入每日现场点检；3. 建立标识定期维护机制，褪色、破损、缺失即时补换。</w:t>
      </w:r>
    </w:p>
    <w:p w14:paraId="3593F93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：全厂EPA区域警示标识全覆盖、清晰规范，区域辨识度100%，作业警示作用有效落地。</w:t>
      </w:r>
    </w:p>
    <w:p w14:paraId="4221F1C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：常态化点检标识状态，及时维护更换，确保标识永久完整有效。</w:t>
      </w:r>
    </w:p>
    <w:p w14:paraId="22FE7EF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：EPA区域标识标准化达标，合规闭环，可结案。</w:t>
      </w:r>
    </w:p>
    <w:p w14:paraId="5883A49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EPA警示标识是ESD现场标准化管控的基础，无标识会导致人员、物料、设备无分区管控依据，极易出现普通物料、绝缘违禁品、未防护人员随意进入防静电区域的违规行为，破坏EPA防护体系独立性。同时属于客户审厂、体系稽核高频基础不符合项，暴露现场标准化管控不细致的问题。</w:t>
      </w:r>
    </w:p>
    <w:p w14:paraId="13F6425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统一全厂ESD标识规格、样式，实现区域标识标准化、统一化；2. 标识下方标注区域管控要求、作业规范，强化指引作用；3. 划分标识管护责任人，定点维护、定期检查。</w:t>
      </w:r>
    </w:p>
    <w:p w14:paraId="27F348CC">
      <w:pPr>
        <w:pStyle w:val="4"/>
        <w:keepNext w:val="0"/>
        <w:keepLines w:val="0"/>
        <w:widowControl/>
        <w:suppressLineNumbers w:val="0"/>
        <w:jc w:val="left"/>
        <w:rPr>
          <w:rFonts w:hint="eastAsia" w:ascii="宋体" w:hAnsi="宋体" w:eastAsia="宋体" w:cs="宋体"/>
        </w:rPr>
      </w:pPr>
    </w:p>
    <w:p w14:paraId="4BCFB0C2">
      <w:pPr>
        <w:pStyle w:val="4"/>
        <w:keepNext w:val="0"/>
        <w:keepLines w:val="0"/>
        <w:widowControl/>
        <w:suppressLineNumbers w:val="0"/>
        <w:jc w:val="left"/>
        <w:rPr>
          <w:rFonts w:hint="eastAsia" w:ascii="宋体" w:hAnsi="宋体" w:eastAsia="宋体" w:cs="宋体"/>
        </w:rPr>
      </w:pPr>
    </w:p>
    <w:p w14:paraId="17CEBE01">
      <w:pPr>
        <w:pStyle w:val="4"/>
        <w:keepNext w:val="0"/>
        <w:keepLines w:val="0"/>
        <w:widowControl/>
        <w:suppressLineNumbers w:val="0"/>
        <w:jc w:val="left"/>
        <w:rPr>
          <w:rFonts w:hint="eastAsia" w:ascii="宋体" w:hAnsi="宋体" w:eastAsia="宋体" w:cs="宋体"/>
        </w:rPr>
      </w:pPr>
    </w:p>
    <w:p w14:paraId="0FFE541A">
      <w:pPr>
        <w:pStyle w:val="4"/>
        <w:keepNext w:val="0"/>
        <w:keepLines w:val="0"/>
        <w:widowControl/>
        <w:suppressLineNumbers w:val="0"/>
        <w:jc w:val="left"/>
        <w:rPr>
          <w:rFonts w:hint="eastAsia" w:ascii="宋体" w:hAnsi="宋体" w:eastAsia="宋体" w:cs="宋体"/>
        </w:rPr>
      </w:pPr>
    </w:p>
    <w:p w14:paraId="3AA247B3">
      <w:pPr>
        <w:pStyle w:val="4"/>
        <w:keepNext w:val="0"/>
        <w:keepLines w:val="0"/>
        <w:widowControl/>
        <w:suppressLineNumbers w:val="0"/>
        <w:jc w:val="left"/>
        <w:rPr>
          <w:rFonts w:hint="eastAsia" w:ascii="宋体" w:hAnsi="宋体" w:eastAsia="宋体" w:cs="宋体"/>
        </w:rPr>
      </w:pPr>
    </w:p>
    <w:p w14:paraId="4F2435FF">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【NCR022】EPA与非EPA无隔离混流</w:t>
      </w:r>
    </w:p>
    <w:p w14:paraId="7A42E43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：车间EPA防静电区域与普通非防静电区域无物理隔离、无边界围挡，人员、物料、工具随意跨区流动，造成静电防护体系混乱，区域管控失效。</w:t>
      </w:r>
    </w:p>
    <w:p w14:paraId="6C59A90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EPA区域隔离管控要求</w:t>
      </w:r>
    </w:p>
    <w:p w14:paraId="7FEBE3A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静电防护区域分区隔离规范</w:t>
      </w:r>
    </w:p>
    <w:p w14:paraId="4399D7F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：严重不符合（Major）</w:t>
      </w:r>
    </w:p>
    <w:p w14:paraId="270841B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：立即采用隔离护栏、警示胶带临时划分区域边界，禁止人员、物料、工具随意跨区混流，安排专人值守管控区域进出，临时规范区域作业秩序。</w:t>
      </w:r>
    </w:p>
    <w:p w14:paraId="038C9C0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车间区域规划不完善，未落实EPA独立隔离管控要求；2. 现场管控无跨区作业约束机制，员工随意跨区操作；3. 日常稽查对区域混流问题管控不严，长期放任违规行为。</w:t>
      </w:r>
    </w:p>
    <w:p w14:paraId="056811D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加装标准化物理隔离围挡，彻底划分EPA与非EPA独立区域；2. 明确区域进出管控规则，严禁非合规物料、工具、人员进入EPA；3. 将区域隔离合规性、跨区管控纳入每日重点稽查项。</w:t>
      </w:r>
    </w:p>
    <w:p w14:paraId="5D0778D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：EPA与非EPA区域完全物理隔离，边界清晰，无人员物料混流问题，区域管控秩序规范。</w:t>
      </w:r>
    </w:p>
    <w:p w14:paraId="360D517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：常态化管控区域进出，定期核查隔离设施完好性，杜绝跨区混流。</w:t>
      </w:r>
    </w:p>
    <w:p w14:paraId="569F676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：区域隔离管控完善，核心风险闭环，可结案。</w:t>
      </w:r>
    </w:p>
    <w:p w14:paraId="71E56C2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EPA区域混流是ESD体系核心严重不符合项，非EPA区域的普通塑料工具、绝缘物料、无防护人员会持续向防静电区域带入大量静电，直接破坏EPA静电平衡环境，导致工位静电超标、元器件击穿不良。无隔离分区会造成整体ESD防护体系形同虚设，是引发批量质量事故、审厂不通过的重大隐患。</w:t>
      </w:r>
    </w:p>
    <w:p w14:paraId="705CFC7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区域边界张贴分区管控细则、进出规范，明确禁止事项；2. 定期开展全员分区管控培训，强化跨区作业风险认知；3. 新增区域巡检考核机制，违规跨区纳入现场绩效考核。</w:t>
      </w:r>
    </w:p>
    <w:p w14:paraId="736BC088">
      <w:pPr>
        <w:pStyle w:val="4"/>
        <w:keepNext w:val="0"/>
        <w:keepLines w:val="0"/>
        <w:widowControl/>
        <w:suppressLineNumbers w:val="0"/>
        <w:jc w:val="left"/>
        <w:rPr>
          <w:rFonts w:hint="eastAsia" w:ascii="宋体" w:hAnsi="宋体" w:eastAsia="宋体" w:cs="宋体"/>
        </w:rPr>
      </w:pPr>
    </w:p>
    <w:p w14:paraId="1040AC11">
      <w:pPr>
        <w:pStyle w:val="4"/>
        <w:keepNext w:val="0"/>
        <w:keepLines w:val="0"/>
        <w:widowControl/>
        <w:suppressLineNumbers w:val="0"/>
        <w:jc w:val="left"/>
        <w:rPr>
          <w:rFonts w:hint="eastAsia" w:ascii="宋体" w:hAnsi="宋体" w:eastAsia="宋体" w:cs="宋体"/>
        </w:rPr>
      </w:pPr>
    </w:p>
    <w:p w14:paraId="1682C792">
      <w:pPr>
        <w:pStyle w:val="4"/>
        <w:keepNext w:val="0"/>
        <w:keepLines w:val="0"/>
        <w:widowControl/>
        <w:suppressLineNumbers w:val="0"/>
        <w:jc w:val="left"/>
        <w:rPr>
          <w:rFonts w:hint="eastAsia" w:ascii="宋体" w:hAnsi="宋体" w:eastAsia="宋体" w:cs="宋体"/>
        </w:rPr>
      </w:pPr>
    </w:p>
    <w:p w14:paraId="3614D2D9">
      <w:pPr>
        <w:pStyle w:val="4"/>
        <w:keepNext w:val="0"/>
        <w:keepLines w:val="0"/>
        <w:widowControl/>
        <w:suppressLineNumbers w:val="0"/>
        <w:jc w:val="left"/>
        <w:rPr>
          <w:rFonts w:hint="eastAsia" w:ascii="宋体" w:hAnsi="宋体" w:eastAsia="宋体" w:cs="宋体"/>
        </w:rPr>
      </w:pPr>
    </w:p>
    <w:p w14:paraId="23D76DFA">
      <w:pPr>
        <w:pStyle w:val="4"/>
        <w:keepNext w:val="0"/>
        <w:keepLines w:val="0"/>
        <w:widowControl/>
        <w:suppressLineNumbers w:val="0"/>
        <w:jc w:val="left"/>
        <w:rPr>
          <w:rFonts w:hint="eastAsia" w:ascii="宋体" w:hAnsi="宋体" w:eastAsia="宋体" w:cs="宋体"/>
        </w:rPr>
      </w:pPr>
    </w:p>
    <w:p w14:paraId="2D6CEA64">
      <w:pPr>
        <w:pStyle w:val="4"/>
        <w:keepNext w:val="0"/>
        <w:keepLines w:val="0"/>
        <w:widowControl/>
        <w:suppressLineNumbers w:val="0"/>
        <w:jc w:val="left"/>
        <w:rPr>
          <w:rFonts w:hint="eastAsia" w:ascii="宋体" w:hAnsi="宋体" w:eastAsia="宋体" w:cs="宋体"/>
        </w:rPr>
      </w:pPr>
    </w:p>
    <w:p w14:paraId="2265B98E">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【NCR023】温湿度无记录、湿度偏低</w:t>
      </w:r>
    </w:p>
    <w:p w14:paraId="55AC7F7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：EPA作业区域未按要求记录温湿度，且现场实测环境湿度长期低于40%，干燥环境极易产生摩擦静电，静电消散速度大幅降低，累积风险极高。</w:t>
      </w:r>
    </w:p>
    <w:p w14:paraId="18BF729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5.4 EPA环境温湿度管控要求</w:t>
      </w:r>
    </w:p>
    <w:p w14:paraId="415FC45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5.4 静电防护区域温湿度监测记录规范</w:t>
      </w:r>
    </w:p>
    <w:p w14:paraId="28BA2EB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ADA659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：立即开启车间加湿设备，提升环境湿度至标准范围（40%-60%RH），即刻启动温湿度每2小时记录制度，补全阶段性管控记录。</w:t>
      </w:r>
    </w:p>
    <w:p w14:paraId="2803D1C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作业人员未落实温湿度点检记录制度，管控执行不到位；2. 无湿度偏低预警与调控机制，干燥环境未及时干预；3. 管理人员对环境湿度影响静电防护的认知不足，管控松懈。</w:t>
      </w:r>
    </w:p>
    <w:p w14:paraId="0D08FD7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固化每2小时温湿度点检、记录、签字制度，杜绝空记录、漏记录；2. 加装自动加湿设备与湿度预警装置，湿度低于标准自动报警干预；3. 将温湿度达标率、记录完整性纳入班组日常考核。</w:t>
      </w:r>
    </w:p>
    <w:p w14:paraId="7FA0E9C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：车间环境湿度稳定维持在40%-60%标准区间，温湿度记录完整、真实、可追溯，环境静电消散条件达标。</w:t>
      </w:r>
    </w:p>
    <w:p w14:paraId="5C280A0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：严格落实常态化温湿度监测记录，自动设备常态化运行，异常及时调控。</w:t>
      </w:r>
    </w:p>
    <w:p w14:paraId="5D5578B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：环境管控合规，温湿度风险清零，可结案。</w:t>
      </w:r>
    </w:p>
    <w:p w14:paraId="6BD79A5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环境湿度是影响静电产生与消散的核心环境因素，低湿度干燥环境下，物体摩擦产生的静电无法自然消散，会持续累积在台面、工装、物料表面，静电电压可瞬间飙升至数千伏，远超精密元器件耐压阈值。无记录管控会导致环境异常无法追溯，长期干燥作业是车间隐性静电不良频发的核心环境诱因。</w:t>
      </w:r>
    </w:p>
    <w:p w14:paraId="6673EF3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冬季干燥季节加密湿度监测频次，持续保障环境达标；2. 留存温湿度电子+纸质双台账，满足体系溯源要求；3. 将环境温湿度数据与产品不良数据联动分析，精准管控风险。</w:t>
      </w:r>
    </w:p>
    <w:p w14:paraId="6F383E3D">
      <w:pPr>
        <w:pStyle w:val="4"/>
        <w:keepNext w:val="0"/>
        <w:keepLines w:val="0"/>
        <w:widowControl/>
        <w:suppressLineNumbers w:val="0"/>
        <w:jc w:val="left"/>
        <w:rPr>
          <w:rFonts w:hint="eastAsia" w:ascii="宋体" w:hAnsi="宋体" w:eastAsia="宋体" w:cs="宋体"/>
        </w:rPr>
      </w:pPr>
    </w:p>
    <w:p w14:paraId="64AB9170">
      <w:pPr>
        <w:pStyle w:val="4"/>
        <w:keepNext w:val="0"/>
        <w:keepLines w:val="0"/>
        <w:widowControl/>
        <w:suppressLineNumbers w:val="0"/>
        <w:jc w:val="left"/>
        <w:rPr>
          <w:rFonts w:hint="eastAsia" w:ascii="宋体" w:hAnsi="宋体" w:eastAsia="宋体" w:cs="宋体"/>
        </w:rPr>
      </w:pPr>
    </w:p>
    <w:p w14:paraId="391F0C14">
      <w:pPr>
        <w:pStyle w:val="4"/>
        <w:keepNext w:val="0"/>
        <w:keepLines w:val="0"/>
        <w:widowControl/>
        <w:suppressLineNumbers w:val="0"/>
        <w:jc w:val="left"/>
        <w:rPr>
          <w:rFonts w:hint="eastAsia" w:ascii="宋体" w:hAnsi="宋体" w:eastAsia="宋体" w:cs="宋体"/>
        </w:rPr>
      </w:pPr>
    </w:p>
    <w:p w14:paraId="32C154FE">
      <w:pPr>
        <w:pStyle w:val="4"/>
        <w:keepNext w:val="0"/>
        <w:keepLines w:val="0"/>
        <w:widowControl/>
        <w:suppressLineNumbers w:val="0"/>
        <w:jc w:val="left"/>
        <w:rPr>
          <w:rFonts w:hint="eastAsia" w:ascii="宋体" w:hAnsi="宋体" w:eastAsia="宋体" w:cs="宋体"/>
        </w:rPr>
      </w:pPr>
    </w:p>
    <w:p w14:paraId="583620D2">
      <w:pPr>
        <w:pStyle w:val="4"/>
        <w:keepNext w:val="0"/>
        <w:keepLines w:val="0"/>
        <w:widowControl/>
        <w:suppressLineNumbers w:val="0"/>
        <w:jc w:val="left"/>
        <w:rPr>
          <w:rFonts w:hint="eastAsia" w:ascii="宋体" w:hAnsi="宋体" w:eastAsia="宋体" w:cs="宋体"/>
        </w:rPr>
      </w:pPr>
    </w:p>
    <w:p w14:paraId="0C351CD4">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【NCR024】工位摆放绝缘违禁品</w:t>
      </w:r>
    </w:p>
    <w:p w14:paraId="277C831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：现场多个EPA作业工位摆放普通塑料水杯、绝缘胶带、亚克力摆件、纸质笔记本等绝缘违禁物品，绝缘物体极易累积静电，无法自主泄放，存在放电损伤产品风险。</w:t>
      </w:r>
    </w:p>
    <w:p w14:paraId="004840A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EPA工位物料管控要求</w:t>
      </w:r>
    </w:p>
    <w:p w14:paraId="303E1B1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防静电工位绝缘物品管控规范</w:t>
      </w:r>
    </w:p>
    <w:p w14:paraId="51CB8B8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866EFE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：立即全面清理所有工位绝缘违禁品，统一收纳至非EPA区域，临时落实工位班前清检制度，杜绝违禁品滞留工位。</w:t>
      </w:r>
    </w:p>
    <w:p w14:paraId="6041F4E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员工ESD规范意识薄弱，不清楚绝缘物品禁止带入EPA工位；2. 工位无违禁品清单公示，作业无明确禁忌指引；3. 日常工位点检未重点排查绝缘违禁物品，管控存在漏洞。</w:t>
      </w:r>
    </w:p>
    <w:p w14:paraId="50D3A33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制定EPA工位违禁品清单，全员公示、培训宣导；2. 落实班前、班中、班后工位违禁品三级清理检查制度；3. 严禁任何非防静电绝缘物品滞留作业工位。</w:t>
      </w:r>
    </w:p>
    <w:p w14:paraId="6FBB845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：全厂EPA工位无任何绝缘违禁品摆放，工位物料全部合规，静电累积风险消除。</w:t>
      </w:r>
    </w:p>
    <w:p w14:paraId="4592345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：常态化开展工位违禁品排查，强化员工规范意识，杜绝违规摆放。</w:t>
      </w:r>
    </w:p>
    <w:p w14:paraId="23090DE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：工位物料管控合规，隐患闭环，可结案。</w:t>
      </w:r>
    </w:p>
    <w:p w14:paraId="4EF0375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绝缘材质是EPA区域最高风险物品，绝缘物体无法导走静电，微小摩擦即可累积上万伏静电，且静电滞留时间长、无自主消散渠道。作业过程中绝缘物品靠近或接触精密元器件时，会发生瞬时高压放电，造成产品不可逆击穿。工位违禁品属于高频重复性违规问题，暴露员工基础ESD规范执行不到位、现场精细化管控不足。</w:t>
      </w:r>
    </w:p>
    <w:p w14:paraId="7AA5373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工位张贴可视化违禁品清单，明确禁止摆放物品；2. 统一配发防静电办公用品、作业工具，替代普通绝缘用品；3. 将违禁品排查纳入工位5S与ESD联合稽查。</w:t>
      </w:r>
    </w:p>
    <w:p w14:paraId="7486793A">
      <w:pPr>
        <w:pStyle w:val="4"/>
        <w:keepNext w:val="0"/>
        <w:keepLines w:val="0"/>
        <w:widowControl/>
        <w:suppressLineNumbers w:val="0"/>
        <w:jc w:val="left"/>
        <w:rPr>
          <w:rFonts w:hint="eastAsia" w:ascii="宋体" w:hAnsi="宋体" w:eastAsia="宋体" w:cs="宋体"/>
        </w:rPr>
      </w:pPr>
    </w:p>
    <w:p w14:paraId="197A1EFE">
      <w:pPr>
        <w:pStyle w:val="4"/>
        <w:keepNext w:val="0"/>
        <w:keepLines w:val="0"/>
        <w:widowControl/>
        <w:suppressLineNumbers w:val="0"/>
        <w:jc w:val="left"/>
        <w:rPr>
          <w:rFonts w:hint="eastAsia" w:ascii="宋体" w:hAnsi="宋体" w:eastAsia="宋体" w:cs="宋体"/>
        </w:rPr>
      </w:pPr>
    </w:p>
    <w:p w14:paraId="508C345E">
      <w:pPr>
        <w:pStyle w:val="4"/>
        <w:keepNext w:val="0"/>
        <w:keepLines w:val="0"/>
        <w:widowControl/>
        <w:suppressLineNumbers w:val="0"/>
        <w:jc w:val="left"/>
        <w:rPr>
          <w:rFonts w:hint="eastAsia" w:ascii="宋体" w:hAnsi="宋体" w:eastAsia="宋体" w:cs="宋体"/>
        </w:rPr>
      </w:pPr>
    </w:p>
    <w:p w14:paraId="69F663FC">
      <w:pPr>
        <w:pStyle w:val="4"/>
        <w:keepNext w:val="0"/>
        <w:keepLines w:val="0"/>
        <w:widowControl/>
        <w:suppressLineNumbers w:val="0"/>
        <w:jc w:val="left"/>
        <w:rPr>
          <w:rFonts w:hint="eastAsia" w:ascii="宋体" w:hAnsi="宋体" w:eastAsia="宋体" w:cs="宋体"/>
        </w:rPr>
      </w:pPr>
    </w:p>
    <w:p w14:paraId="19F9DBB4">
      <w:pPr>
        <w:pStyle w:val="4"/>
        <w:keepNext w:val="0"/>
        <w:keepLines w:val="0"/>
        <w:widowControl/>
        <w:suppressLineNumbers w:val="0"/>
        <w:jc w:val="left"/>
        <w:rPr>
          <w:rFonts w:hint="eastAsia" w:ascii="宋体" w:hAnsi="宋体" w:eastAsia="宋体" w:cs="宋体"/>
        </w:rPr>
      </w:pPr>
    </w:p>
    <w:p w14:paraId="29B3547B">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【NCR025】精密工位无离子风机</w:t>
      </w:r>
    </w:p>
    <w:p w14:paraId="5A01829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：超高精密元器件作业工位未配置离子风机，无法中和工位、物料表面残留静电荷，干燥环境下静电残留无法消除，持续存在放电损伤风险。</w:t>
      </w:r>
    </w:p>
    <w:p w14:paraId="49FD9D5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5.3 高敏感工位静电中和防护要求</w:t>
      </w:r>
    </w:p>
    <w:p w14:paraId="1929EBF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5.3 精密制程静电消除设备配置规范</w:t>
      </w:r>
    </w:p>
    <w:p w14:paraId="11DAC6F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90631D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：临时调配备用离子风机投放精密工位使用，作业前提前开机中和静电，保障当下物料作业安全。</w:t>
      </w:r>
    </w:p>
    <w:p w14:paraId="118C102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工位设备配置不完善，未针对高敏感制程匹配静电消除设备；2. 工艺风险评估不足，未识别精密工位静电残留风险；3. 设备配置台账缺失，防护设备配备存在盲区。</w:t>
      </w:r>
    </w:p>
    <w:p w14:paraId="2D3FE33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为所有超高精密作业工位配齐合规离子风机，定点安装固定；2. 明确离子风机开机使用规范，作业全程开机运行；3. 将离子风机配置、使用状态纳入工位必查项目。</w:t>
      </w:r>
    </w:p>
    <w:p w14:paraId="6726A0F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：所有精密工位均配齐离子风机，设备正常运行，可有效中和表面残留静电，工位静电环境达标。</w:t>
      </w:r>
    </w:p>
    <w:p w14:paraId="09F4FA7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：新增精密工位同步配置离子风机，常态化核查设备完好使用状态。</w:t>
      </w:r>
    </w:p>
    <w:p w14:paraId="0F557DB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：精密工位静电防护配置完善，风险闭环，可结案。</w:t>
      </w:r>
    </w:p>
    <w:p w14:paraId="0372405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接地、台垫仅能实现静电泄放，无法消除物料、元器件表面已残留的静电荷，超高精密元器件耐压极低，残留微量静电即可造成隐性失效。离子风机是精密制程必备的静电中和设备，缺失后工位静电无法彻底清零，属于核心防护设备配置缺失，是精密产品不良的关键诱因。</w:t>
      </w:r>
    </w:p>
    <w:p w14:paraId="1488519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根据工位作业范围调整离子风机角度、风量，保证静电中和全覆盖；2. 建立离子风机专项维保台账，定期清洁、校准；3. 针对精密工位员工开展离子风机规范使用专项培训。</w:t>
      </w:r>
    </w:p>
    <w:p w14:paraId="2251002A">
      <w:pPr>
        <w:pStyle w:val="4"/>
        <w:keepNext w:val="0"/>
        <w:keepLines w:val="0"/>
        <w:widowControl/>
        <w:suppressLineNumbers w:val="0"/>
        <w:jc w:val="left"/>
        <w:rPr>
          <w:rFonts w:hint="eastAsia" w:ascii="宋体" w:hAnsi="宋体" w:eastAsia="宋体" w:cs="宋体"/>
        </w:rPr>
      </w:pPr>
    </w:p>
    <w:p w14:paraId="53AD15CA">
      <w:pPr>
        <w:pStyle w:val="4"/>
        <w:keepNext w:val="0"/>
        <w:keepLines w:val="0"/>
        <w:widowControl/>
        <w:suppressLineNumbers w:val="0"/>
        <w:jc w:val="left"/>
        <w:rPr>
          <w:rFonts w:hint="eastAsia" w:ascii="宋体" w:hAnsi="宋体" w:eastAsia="宋体" w:cs="宋体"/>
        </w:rPr>
      </w:pPr>
    </w:p>
    <w:p w14:paraId="3F4D5C69">
      <w:pPr>
        <w:pStyle w:val="4"/>
        <w:keepNext w:val="0"/>
        <w:keepLines w:val="0"/>
        <w:widowControl/>
        <w:suppressLineNumbers w:val="0"/>
        <w:jc w:val="left"/>
        <w:rPr>
          <w:rFonts w:hint="eastAsia" w:ascii="宋体" w:hAnsi="宋体" w:eastAsia="宋体" w:cs="宋体"/>
        </w:rPr>
      </w:pPr>
    </w:p>
    <w:p w14:paraId="5490FF44">
      <w:pPr>
        <w:pStyle w:val="4"/>
        <w:keepNext w:val="0"/>
        <w:keepLines w:val="0"/>
        <w:widowControl/>
        <w:suppressLineNumbers w:val="0"/>
        <w:jc w:val="left"/>
        <w:rPr>
          <w:rFonts w:hint="eastAsia" w:ascii="宋体" w:hAnsi="宋体" w:eastAsia="宋体" w:cs="宋体"/>
        </w:rPr>
      </w:pPr>
    </w:p>
    <w:p w14:paraId="77C0207B">
      <w:pPr>
        <w:pStyle w:val="4"/>
        <w:keepNext w:val="0"/>
        <w:keepLines w:val="0"/>
        <w:widowControl/>
        <w:suppressLineNumbers w:val="0"/>
        <w:jc w:val="left"/>
        <w:rPr>
          <w:rFonts w:hint="eastAsia" w:ascii="宋体" w:hAnsi="宋体" w:eastAsia="宋体" w:cs="宋体"/>
        </w:rPr>
      </w:pPr>
    </w:p>
    <w:p w14:paraId="01FA11A0">
      <w:pPr>
        <w:pStyle w:val="4"/>
        <w:keepNext w:val="0"/>
        <w:keepLines w:val="0"/>
        <w:widowControl/>
        <w:suppressLineNumbers w:val="0"/>
        <w:jc w:val="left"/>
        <w:rPr>
          <w:rFonts w:hint="eastAsia" w:ascii="宋体" w:hAnsi="宋体" w:eastAsia="宋体" w:cs="宋体"/>
        </w:rPr>
      </w:pPr>
    </w:p>
    <w:p w14:paraId="61D13E2A">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【NCR026】离子风机无点检校准记录</w:t>
      </w:r>
    </w:p>
    <w:p w14:paraId="18EE23B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：现场在用离子风机无日常点检记录、无定期校准数据，无法确认离子平衡、除静电效能是否达标，设备可能失效带病运行，防护功能不可控。</w:t>
      </w:r>
    </w:p>
    <w:p w14:paraId="3305A45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静电消除设备点检校准要求</w:t>
      </w:r>
    </w:p>
    <w:p w14:paraId="4ABDFF6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离子发生设备周期性校验管控规范</w:t>
      </w:r>
    </w:p>
    <w:p w14:paraId="4D5F50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AD2183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：立即对所有离子风机开展全面功能检测、离子平衡测试，临时补全基础点检记录，不合格设备立即停用整改。</w:t>
      </w:r>
    </w:p>
    <w:p w14:paraId="125CD44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SOP文件缺失离子风机点检、校准管控条款，流程空白；2. 无周期性校准计划，设备长期使用未校验性能；3. 员工未落实设备点检职责，无记录、无追溯。</w:t>
      </w:r>
    </w:p>
    <w:p w14:paraId="28C83B2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修订作业SOP，新增离子风机每日点检、季度校准制度；2. 制定离子风机校准年度计划，按期送检校验，留存合格证书；3. 建立设备专属点检台账，每日记录设备运行状态、离子平衡数据。</w:t>
      </w:r>
    </w:p>
    <w:p w14:paraId="28101F0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：所有离子风机性能、离子平衡均达标，点检、校准台账完整可追溯，设备防护功能可控。</w:t>
      </w:r>
    </w:p>
    <w:p w14:paraId="31E63F1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：严格落实每日点检、季度校准机制，杜绝无记录、漏校准问题。</w:t>
      </w:r>
    </w:p>
    <w:p w14:paraId="49DE59F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：离子风机管控合规，体系闭环，可结案。</w:t>
      </w:r>
    </w:p>
    <w:p w14:paraId="7714032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离子风机长期使用会出现积尘、电极老化、离子平衡偏移等问题，失效后不仅无法除静电，还会产生反向静电、离子失衡放电，损伤元器件。无点检校准记录会导致设备状态完全不可控，出现「看似在用、实则失效」的管控盲区，属于典型的设备运维体系缺失问题，审厂高频不合格。</w:t>
      </w:r>
    </w:p>
    <w:p w14:paraId="0D6604D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每周对离子风机电极、出风口做清洁除尘，保障设备效能；2. 离子平衡数据单独建档，异常数据及时分析整改；3. 校准证书统一归档，纳入年度体系审核资料。</w:t>
      </w:r>
    </w:p>
    <w:p w14:paraId="0A2BF783">
      <w:pPr>
        <w:pStyle w:val="4"/>
        <w:keepNext w:val="0"/>
        <w:keepLines w:val="0"/>
        <w:widowControl/>
        <w:suppressLineNumbers w:val="0"/>
        <w:jc w:val="left"/>
        <w:rPr>
          <w:rFonts w:hint="eastAsia" w:ascii="宋体" w:hAnsi="宋体" w:eastAsia="宋体" w:cs="宋体"/>
        </w:rPr>
      </w:pPr>
    </w:p>
    <w:p w14:paraId="303A07DF">
      <w:pPr>
        <w:pStyle w:val="4"/>
        <w:keepNext w:val="0"/>
        <w:keepLines w:val="0"/>
        <w:widowControl/>
        <w:suppressLineNumbers w:val="0"/>
        <w:jc w:val="left"/>
        <w:rPr>
          <w:rFonts w:hint="eastAsia" w:ascii="宋体" w:hAnsi="宋体" w:eastAsia="宋体" w:cs="宋体"/>
        </w:rPr>
      </w:pPr>
    </w:p>
    <w:p w14:paraId="6FB97953">
      <w:pPr>
        <w:pStyle w:val="4"/>
        <w:keepNext w:val="0"/>
        <w:keepLines w:val="0"/>
        <w:widowControl/>
        <w:suppressLineNumbers w:val="0"/>
        <w:jc w:val="left"/>
        <w:rPr>
          <w:rFonts w:hint="eastAsia" w:ascii="宋体" w:hAnsi="宋体" w:eastAsia="宋体" w:cs="宋体"/>
        </w:rPr>
      </w:pPr>
    </w:p>
    <w:p w14:paraId="399DEFDA">
      <w:pPr>
        <w:pStyle w:val="4"/>
        <w:keepNext w:val="0"/>
        <w:keepLines w:val="0"/>
        <w:widowControl/>
        <w:suppressLineNumbers w:val="0"/>
        <w:jc w:val="left"/>
        <w:rPr>
          <w:rFonts w:hint="eastAsia" w:ascii="宋体" w:hAnsi="宋体" w:eastAsia="宋体" w:cs="宋体"/>
        </w:rPr>
      </w:pPr>
    </w:p>
    <w:p w14:paraId="39F1C610">
      <w:pPr>
        <w:pStyle w:val="4"/>
        <w:keepNext w:val="0"/>
        <w:keepLines w:val="0"/>
        <w:widowControl/>
        <w:suppressLineNumbers w:val="0"/>
        <w:jc w:val="left"/>
        <w:rPr>
          <w:rFonts w:hint="eastAsia" w:ascii="宋体" w:hAnsi="宋体" w:eastAsia="宋体" w:cs="宋体"/>
        </w:rPr>
      </w:pPr>
    </w:p>
    <w:p w14:paraId="6A9D5968">
      <w:pPr>
        <w:pStyle w:val="4"/>
        <w:keepNext w:val="0"/>
        <w:keepLines w:val="0"/>
        <w:widowControl/>
        <w:suppressLineNumbers w:val="0"/>
        <w:jc w:val="left"/>
        <w:rPr>
          <w:rFonts w:hint="eastAsia" w:ascii="宋体" w:hAnsi="宋体" w:eastAsia="宋体" w:cs="宋体"/>
        </w:rPr>
      </w:pPr>
    </w:p>
    <w:p w14:paraId="6839FFBD">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【NCR027】EPA堆放纸箱泡沫</w:t>
      </w:r>
    </w:p>
    <w:p w14:paraId="32A2754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：EPA防静电区域通道、工位旁堆放普通纸箱、泡沫泡棉等高绝缘物料，此类物料摩擦极易产生高压静电，且无法泄放，严重威胁敏感产品安全。</w:t>
      </w:r>
    </w:p>
    <w:p w14:paraId="2E51D18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EPA区域绝缘物料管控要求</w:t>
      </w:r>
    </w:p>
    <w:p w14:paraId="20D138B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防静电区域高静电物料管控规范</w:t>
      </w:r>
    </w:p>
    <w:p w14:paraId="0A1F728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1FF6D3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：立即清空EPA区域所有纸箱、泡沫等绝缘物料，全部转移至非EPA区域存放，临时落实区域绝缘物料零堆放管控。</w:t>
      </w:r>
    </w:p>
    <w:p w14:paraId="4B9A3BF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员工贪图作业便利，违规将包装物料临时堆放作业区域；2. EPA区域物料管控标准执行不严，无禁止堆放要求；3. 现场巡检疏漏，未及时清理违规堆放的绝缘物料。</w:t>
      </w:r>
    </w:p>
    <w:p w14:paraId="34B21A2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明确EPA区域严禁堆放纸箱、泡沫、普通塑料等高绝缘物料；2. 划定专属包装物料存放区，统一收纳、集中管理；3. 将区域绝缘物料清理纳入每日5S+ESD联合稽查。</w:t>
      </w:r>
    </w:p>
    <w:p w14:paraId="4C60687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：EPA区域无任何纸箱、泡沫等绝缘物料堆放，区域静电环境洁净合规，风险完全消除。</w:t>
      </w:r>
    </w:p>
    <w:p w14:paraId="50B814F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：常态化巡查清理，严格管控区域物料准入，杜绝违规堆放。</w:t>
      </w:r>
    </w:p>
    <w:p w14:paraId="6409A62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：EPA区域物料管控规范，隐患清零，可结案。</w:t>
      </w:r>
    </w:p>
    <w:p w14:paraId="434A030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纸箱、泡沫属于超高静电产生源，轻微摩擦即可产生数千至数万伏静电，且绝缘材质无法泄放，静电会长期滞留于区域环境中。EPA区域堆放此类物料，会持续恶化区域静电环境，随时可能对周边精密元器件、PCBA板材造成放电击穿，是现场最常见、风险最高的违规作业行为之一。</w:t>
      </w:r>
    </w:p>
    <w:p w14:paraId="5420054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区域醒目位置张贴禁止堆放绝缘物料警示标识；2. 包装拆包作业统一在非EPA指定区域完成，禁止带包进入工位；3. 每日班后专项排查区域违规堆放问题。</w:t>
      </w:r>
    </w:p>
    <w:p w14:paraId="64A26808">
      <w:pPr>
        <w:pStyle w:val="4"/>
        <w:keepNext w:val="0"/>
        <w:keepLines w:val="0"/>
        <w:widowControl/>
        <w:suppressLineNumbers w:val="0"/>
        <w:jc w:val="left"/>
        <w:rPr>
          <w:rFonts w:hint="eastAsia" w:ascii="宋体" w:hAnsi="宋体" w:eastAsia="宋体" w:cs="宋体"/>
        </w:rPr>
      </w:pPr>
    </w:p>
    <w:p w14:paraId="6805AF36">
      <w:pPr>
        <w:pStyle w:val="4"/>
        <w:keepNext w:val="0"/>
        <w:keepLines w:val="0"/>
        <w:widowControl/>
        <w:suppressLineNumbers w:val="0"/>
        <w:jc w:val="left"/>
        <w:rPr>
          <w:rFonts w:hint="eastAsia" w:ascii="宋体" w:hAnsi="宋体" w:eastAsia="宋体" w:cs="宋体"/>
        </w:rPr>
      </w:pPr>
    </w:p>
    <w:p w14:paraId="45C0E6FF">
      <w:pPr>
        <w:pStyle w:val="4"/>
        <w:keepNext w:val="0"/>
        <w:keepLines w:val="0"/>
        <w:widowControl/>
        <w:suppressLineNumbers w:val="0"/>
        <w:jc w:val="left"/>
        <w:rPr>
          <w:rFonts w:hint="eastAsia" w:ascii="宋体" w:hAnsi="宋体" w:eastAsia="宋体" w:cs="宋体"/>
        </w:rPr>
      </w:pPr>
    </w:p>
    <w:p w14:paraId="590E77B9">
      <w:pPr>
        <w:pStyle w:val="4"/>
        <w:keepNext w:val="0"/>
        <w:keepLines w:val="0"/>
        <w:widowControl/>
        <w:suppressLineNumbers w:val="0"/>
        <w:jc w:val="left"/>
        <w:rPr>
          <w:rFonts w:hint="eastAsia" w:ascii="宋体" w:hAnsi="宋体" w:eastAsia="宋体" w:cs="宋体"/>
        </w:rPr>
      </w:pPr>
    </w:p>
    <w:p w14:paraId="3B7D5FA9">
      <w:pPr>
        <w:pStyle w:val="4"/>
        <w:keepNext w:val="0"/>
        <w:keepLines w:val="0"/>
        <w:widowControl/>
        <w:suppressLineNumbers w:val="0"/>
        <w:jc w:val="left"/>
        <w:rPr>
          <w:rFonts w:hint="eastAsia" w:ascii="宋体" w:hAnsi="宋体" w:eastAsia="宋体" w:cs="宋体"/>
        </w:rPr>
      </w:pPr>
    </w:p>
    <w:p w14:paraId="63A6DCF0">
      <w:pPr>
        <w:pStyle w:val="4"/>
        <w:keepNext w:val="0"/>
        <w:keepLines w:val="0"/>
        <w:widowControl/>
        <w:suppressLineNumbers w:val="0"/>
        <w:jc w:val="left"/>
        <w:rPr>
          <w:rFonts w:hint="eastAsia" w:ascii="宋体" w:hAnsi="宋体" w:eastAsia="宋体" w:cs="宋体"/>
        </w:rPr>
      </w:pPr>
    </w:p>
    <w:p w14:paraId="2F3D69BF">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【NCR028】EPA入口无穿戴检查</w:t>
      </w:r>
    </w:p>
    <w:p w14:paraId="05F07F3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：EPA区域入口未设置防静电穿戴检查环节，员工、外来人员可未穿戴防静电服、防静电鞋直接进入作业区域，人员静电防护不达标，带入大量人体静电。</w:t>
      </w:r>
    </w:p>
    <w:p w14:paraId="3A272AB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6.2 人员入区防护穿戴检查要求</w:t>
      </w:r>
    </w:p>
    <w:p w14:paraId="259B6A4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6.2 人员进入静电防护区域核查规范</w:t>
      </w:r>
    </w:p>
    <w:p w14:paraId="1713430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203C45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：立即在EPA入口增设人工检查岗，所有入区人员必须核验穿戴合规后方可进入，杜绝未防护人员入区作业。</w:t>
      </w:r>
    </w:p>
    <w:p w14:paraId="2F53461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入区管控流程缺失，无穿戴检查标准化环节；2. 管理人员对人员入区防护管控重视不足；3. 员工自律性不足，存在侥幸心理，随意穿戴入区。</w:t>
      </w:r>
    </w:p>
    <w:p w14:paraId="3E02DAA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完善入区管控SOP，明确所有人员入区穿戴检查标准与流程；2. 入口设置穿戴规范公示牌、检查岗，落实专人核查；3. 违规穿戴入区纳入现场考核，强化管控力度。</w:t>
      </w:r>
    </w:p>
    <w:p w14:paraId="72FB653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：EPA入口穿戴检查机制落地，所有入区人员穿戴合规，无违规入区情况，人员静电防护达标。</w:t>
      </w:r>
    </w:p>
    <w:p w14:paraId="34EAC70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：长期落实入区检查制度，常态化监督管控，杜绝违规穿戴。</w:t>
      </w:r>
    </w:p>
    <w:p w14:paraId="31EB7E0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：人员入区管控闭环，防护合规，可结案。</w:t>
      </w:r>
    </w:p>
    <w:p w14:paraId="76C05D4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人体是EPA区域最大的移动静电源，未穿戴合规防护用具的人体静电电压可达上万伏，直接接触敏感产品会瞬间击穿元器件。入口无检查环节会导致人员防护管控流于形式，防护标准无法落地，属于人员管控流程漏洞，极易引发批量人员静电不良。</w:t>
      </w:r>
    </w:p>
    <w:p w14:paraId="23DCC90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条件允许可加装门禁联动穿戴检测设备，实现自动化管控；2. 入口张贴标准穿戴示意图，直观规范人员着装；3. 定期开展人员穿戴规范培训，强化自律意识。</w:t>
      </w:r>
    </w:p>
    <w:p w14:paraId="3823AAC1">
      <w:pPr>
        <w:pStyle w:val="4"/>
        <w:keepNext w:val="0"/>
        <w:keepLines w:val="0"/>
        <w:widowControl/>
        <w:suppressLineNumbers w:val="0"/>
        <w:jc w:val="left"/>
        <w:rPr>
          <w:rFonts w:hint="eastAsia" w:ascii="宋体" w:hAnsi="宋体" w:eastAsia="宋体" w:cs="宋体"/>
        </w:rPr>
      </w:pPr>
    </w:p>
    <w:p w14:paraId="6EE98042">
      <w:pPr>
        <w:pStyle w:val="4"/>
        <w:keepNext w:val="0"/>
        <w:keepLines w:val="0"/>
        <w:widowControl/>
        <w:suppressLineNumbers w:val="0"/>
        <w:jc w:val="left"/>
        <w:rPr>
          <w:rFonts w:hint="eastAsia" w:ascii="宋体" w:hAnsi="宋体" w:eastAsia="宋体" w:cs="宋体"/>
        </w:rPr>
      </w:pPr>
    </w:p>
    <w:p w14:paraId="16FADAC5">
      <w:pPr>
        <w:pStyle w:val="4"/>
        <w:keepNext w:val="0"/>
        <w:keepLines w:val="0"/>
        <w:widowControl/>
        <w:suppressLineNumbers w:val="0"/>
        <w:jc w:val="left"/>
        <w:rPr>
          <w:rFonts w:hint="eastAsia" w:ascii="宋体" w:hAnsi="宋体" w:eastAsia="宋体" w:cs="宋体"/>
        </w:rPr>
      </w:pPr>
    </w:p>
    <w:p w14:paraId="3ED25F60">
      <w:pPr>
        <w:pStyle w:val="4"/>
        <w:keepNext w:val="0"/>
        <w:keepLines w:val="0"/>
        <w:widowControl/>
        <w:suppressLineNumbers w:val="0"/>
        <w:jc w:val="left"/>
        <w:rPr>
          <w:rFonts w:hint="eastAsia" w:ascii="宋体" w:hAnsi="宋体" w:eastAsia="宋体" w:cs="宋体"/>
        </w:rPr>
      </w:pPr>
    </w:p>
    <w:p w14:paraId="1139E179">
      <w:pPr>
        <w:pStyle w:val="4"/>
        <w:keepNext w:val="0"/>
        <w:keepLines w:val="0"/>
        <w:widowControl/>
        <w:suppressLineNumbers w:val="0"/>
        <w:jc w:val="left"/>
        <w:rPr>
          <w:rFonts w:hint="eastAsia" w:ascii="宋体" w:hAnsi="宋体" w:eastAsia="宋体" w:cs="宋体"/>
        </w:rPr>
      </w:pPr>
    </w:p>
    <w:p w14:paraId="7EA5EA83">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【NCR029】防静电地坪磨损超标</w:t>
      </w:r>
    </w:p>
    <w:p w14:paraId="44B30D7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：车间EPA区域防静电地坪长期使用磨损严重，局部表层导电涂层脱落，地坪表面电阻超标，丧失静电泄放能力，地面静电无法正常导走。</w:t>
      </w:r>
    </w:p>
    <w:p w14:paraId="1952D15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防静电地坪导通性能要求</w:t>
      </w:r>
    </w:p>
    <w:p w14:paraId="1120E5C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防静电地面性能运维规范</w:t>
      </w:r>
    </w:p>
    <w:p w14:paraId="2213EF4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D078E8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：临时对磨损严重区域做好标识警示，重点管控该区域物料作业，增加静电中和频次，规避静电累积风险。</w:t>
      </w:r>
    </w:p>
    <w:p w14:paraId="5C65199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地坪使用年限较长，自然磨损老化，无翻新维护机制；2. 重物搬运、设备碾压加剧地坪破损磨损；3. 无地坪电阻周期性检测机制，性能衰减未及时发现。</w:t>
      </w:r>
    </w:p>
    <w:p w14:paraId="026FB41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对磨损超标地坪区域统一打磨、翻新、重做防静电涂层；2. 规范重物搬运、设备移位操作，减少地坪碾压磨损；3. 每季度开展地坪表面电阻抽检，建立性能台账。</w:t>
      </w:r>
    </w:p>
    <w:p w14:paraId="10F0B8A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：磨损地坪全部翻新修复，全域地坪电阻检测达标，静电泄放功能恢复正常。</w:t>
      </w:r>
    </w:p>
    <w:p w14:paraId="6D7B7FD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：定期检测地坪性能，规范现场作业操作，减少人为磨损。</w:t>
      </w:r>
    </w:p>
    <w:p w14:paraId="5B90B77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：地坪防护性能达标，隐患闭环，可结案。</w:t>
      </w:r>
    </w:p>
    <w:p w14:paraId="74F2E26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防静电地坪是区域整体静电泄放的基础载体，表层导电涂层磨损后，地面会转变为绝缘状态，人员、周转工具摩擦产生的静电无法通过地面泄放，会持续累积在作业区域，破坏整体静电平衡。地坪性能衰减是渐进式隐患，长期不处理会导致全域ESD防护能力持续下降。</w:t>
      </w:r>
    </w:p>
    <w:p w14:paraId="42E3B1C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高频通行、重物作业区域铺设防静电地垫，保护地坪；2. 建立地坪年度维保、翻新计划，提前预判老化磨损；3. 将地坪外观、电阻参数纳入季度ESD专项检测。</w:t>
      </w:r>
    </w:p>
    <w:p w14:paraId="32EE13AF">
      <w:pPr>
        <w:pStyle w:val="4"/>
        <w:keepNext w:val="0"/>
        <w:keepLines w:val="0"/>
        <w:widowControl/>
        <w:suppressLineNumbers w:val="0"/>
        <w:jc w:val="left"/>
        <w:rPr>
          <w:rFonts w:hint="eastAsia" w:ascii="宋体" w:hAnsi="宋体" w:eastAsia="宋体" w:cs="宋体"/>
        </w:rPr>
      </w:pPr>
    </w:p>
    <w:p w14:paraId="5ED1ABBC">
      <w:pPr>
        <w:pStyle w:val="4"/>
        <w:keepNext w:val="0"/>
        <w:keepLines w:val="0"/>
        <w:widowControl/>
        <w:suppressLineNumbers w:val="0"/>
        <w:jc w:val="left"/>
        <w:rPr>
          <w:rFonts w:hint="eastAsia" w:ascii="宋体" w:hAnsi="宋体" w:eastAsia="宋体" w:cs="宋体"/>
        </w:rPr>
      </w:pPr>
    </w:p>
    <w:p w14:paraId="7D8532C7">
      <w:pPr>
        <w:pStyle w:val="4"/>
        <w:keepNext w:val="0"/>
        <w:keepLines w:val="0"/>
        <w:widowControl/>
        <w:suppressLineNumbers w:val="0"/>
        <w:jc w:val="left"/>
        <w:rPr>
          <w:rFonts w:hint="eastAsia" w:ascii="宋体" w:hAnsi="宋体" w:eastAsia="宋体" w:cs="宋体"/>
        </w:rPr>
      </w:pPr>
    </w:p>
    <w:p w14:paraId="32C1A610">
      <w:pPr>
        <w:pStyle w:val="4"/>
        <w:keepNext w:val="0"/>
        <w:keepLines w:val="0"/>
        <w:widowControl/>
        <w:suppressLineNumbers w:val="0"/>
        <w:jc w:val="left"/>
        <w:rPr>
          <w:rFonts w:hint="eastAsia" w:ascii="宋体" w:hAnsi="宋体" w:eastAsia="宋体" w:cs="宋体"/>
        </w:rPr>
      </w:pPr>
    </w:p>
    <w:p w14:paraId="38251C15">
      <w:pPr>
        <w:pStyle w:val="4"/>
        <w:keepNext w:val="0"/>
        <w:keepLines w:val="0"/>
        <w:widowControl/>
        <w:suppressLineNumbers w:val="0"/>
        <w:jc w:val="left"/>
        <w:rPr>
          <w:rFonts w:hint="eastAsia" w:ascii="宋体" w:hAnsi="宋体" w:eastAsia="宋体" w:cs="宋体"/>
        </w:rPr>
      </w:pPr>
    </w:p>
    <w:p w14:paraId="46BC8754">
      <w:pPr>
        <w:rPr>
          <w:rFonts w:hint="eastAsia" w:ascii="宋体" w:hAnsi="宋体" w:eastAsia="宋体" w:cs="宋体"/>
        </w:rPr>
      </w:pPr>
    </w:p>
    <w:p w14:paraId="3221ED40">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【NCR030】防静电台垫破损开裂</w:t>
      </w:r>
    </w:p>
    <w:p w14:paraId="1934A67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：多个作业工位防静电台垫出现开裂、破损、鼓包、脱落问题，台垫导电结构损坏，局部电阻异常，静电泄放不均匀，存在局部静电累积风险。</w:t>
      </w:r>
    </w:p>
    <w:p w14:paraId="6C7B659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防静电台面防护性能要求</w:t>
      </w:r>
    </w:p>
    <w:p w14:paraId="3788C42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防静电工作台垫运维规范</w:t>
      </w:r>
    </w:p>
    <w:p w14:paraId="2B509CD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634165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：立即停用破损开裂台垫，临时更换备用合规台垫，保障工位静电泄放正常，全面排查所有工位台垫状态。</w:t>
      </w:r>
    </w:p>
    <w:p w14:paraId="2214379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台垫长期高温、重压、硬物划伤，自然老化破损；2. 员工操作不规范，硬物作业、尖锐物品划伤台垫；3. 无台垫定期更换、点检机制，破损问题长期遗留。</w:t>
      </w:r>
    </w:p>
    <w:p w14:paraId="5F405A3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全域更换破损、老化台垫，统一更换加厚耐磨款；2. 规范工位作业操作，严禁硬物、尖锐物品直接摩擦台垫；3. 将台垫完好性、导通性能纳入每日工位点检。</w:t>
      </w:r>
    </w:p>
    <w:p w14:paraId="5506623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：所有工位台垫完好无破损，导通电阻均匀达标，台面静电泄放稳定可靠。</w:t>
      </w:r>
    </w:p>
    <w:p w14:paraId="3AC0592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：常态化点检台垫状态，老化破损即时更换，规范工位操作。</w:t>
      </w:r>
    </w:p>
    <w:p w14:paraId="3170A15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：工位台面防护完善，隐患清零，可结案。</w:t>
      </w:r>
    </w:p>
    <w:p w14:paraId="3AB6A07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防静电台垫是工位直面产品的核心防护载体，破损开裂后内部导电层断裂，会造成台面静电泄放不均，完好区域可正常泄放静电，破损区域静电持续累积。作业时产品跨破损区域操作，极易产生电位差放电，造成隐性击穿，是工位高频不良的重要诱因。</w:t>
      </w:r>
    </w:p>
    <w:p w14:paraId="090C28D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建立台垫耗材台账，根据使用年限定期批量更换；2. 工位配备防护垫板，减少硬物直接接触磨损；3. 每月抽检台垫电阻值，确保全域性能均匀达标。</w:t>
      </w:r>
    </w:p>
    <w:p w14:paraId="3A455057">
      <w:pPr>
        <w:pStyle w:val="4"/>
        <w:keepNext w:val="0"/>
        <w:keepLines w:val="0"/>
        <w:widowControl/>
        <w:suppressLineNumbers w:val="0"/>
        <w:jc w:val="left"/>
        <w:rPr>
          <w:rFonts w:hint="eastAsia" w:ascii="宋体" w:hAnsi="宋体" w:eastAsia="宋体" w:cs="宋体"/>
        </w:rPr>
      </w:pPr>
    </w:p>
    <w:p w14:paraId="5256E4D7">
      <w:pPr>
        <w:pStyle w:val="4"/>
        <w:keepNext w:val="0"/>
        <w:keepLines w:val="0"/>
        <w:widowControl/>
        <w:suppressLineNumbers w:val="0"/>
        <w:jc w:val="left"/>
        <w:rPr>
          <w:rFonts w:hint="eastAsia" w:ascii="宋体" w:hAnsi="宋体" w:eastAsia="宋体" w:cs="宋体"/>
        </w:rPr>
      </w:pPr>
    </w:p>
    <w:p w14:paraId="5AF5F6D0">
      <w:pPr>
        <w:pStyle w:val="4"/>
        <w:keepNext w:val="0"/>
        <w:keepLines w:val="0"/>
        <w:widowControl/>
        <w:suppressLineNumbers w:val="0"/>
        <w:jc w:val="left"/>
        <w:rPr>
          <w:rFonts w:hint="eastAsia" w:ascii="宋体" w:hAnsi="宋体" w:eastAsia="宋体" w:cs="宋体"/>
        </w:rPr>
      </w:pPr>
    </w:p>
    <w:p w14:paraId="08AB307D">
      <w:pPr>
        <w:pStyle w:val="4"/>
        <w:keepNext w:val="0"/>
        <w:keepLines w:val="0"/>
        <w:widowControl/>
        <w:suppressLineNumbers w:val="0"/>
        <w:jc w:val="left"/>
        <w:rPr>
          <w:rFonts w:hint="eastAsia" w:ascii="宋体" w:hAnsi="宋体" w:eastAsia="宋体" w:cs="宋体"/>
        </w:rPr>
      </w:pPr>
    </w:p>
    <w:p w14:paraId="1780C9D4">
      <w:pPr>
        <w:pStyle w:val="4"/>
        <w:keepNext w:val="0"/>
        <w:keepLines w:val="0"/>
        <w:widowControl/>
        <w:suppressLineNumbers w:val="0"/>
        <w:jc w:val="left"/>
        <w:rPr>
          <w:rFonts w:hint="eastAsia" w:ascii="宋体" w:hAnsi="宋体" w:eastAsia="宋体" w:cs="宋体"/>
        </w:rPr>
      </w:pPr>
    </w:p>
    <w:p w14:paraId="2D05BEBB">
      <w:pPr>
        <w:pStyle w:val="4"/>
        <w:keepNext w:val="0"/>
        <w:keepLines w:val="0"/>
        <w:widowControl/>
        <w:suppressLineNumbers w:val="0"/>
        <w:jc w:val="left"/>
        <w:rPr>
          <w:rFonts w:hint="eastAsia" w:ascii="宋体" w:hAnsi="宋体" w:eastAsia="宋体" w:cs="宋体"/>
        </w:rPr>
      </w:pPr>
    </w:p>
    <w:p w14:paraId="17338842">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【NCR031】区域标识模糊脱落</w:t>
      </w:r>
    </w:p>
    <w:p w14:paraId="60FB3BA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：车间部分EPA分区标识、防静电警示标识因长期灰尘、潮湿、磨损出现字迹模糊、边角脱落、褪色缺失，无法起到标识警示作用，现场标准化不达标。</w:t>
      </w:r>
    </w:p>
    <w:p w14:paraId="1F688F0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区域标识清晰完好要求</w:t>
      </w:r>
    </w:p>
    <w:p w14:paraId="383F38F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静电区域标识长效管控规范</w:t>
      </w:r>
    </w:p>
    <w:p w14:paraId="534CC5E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D4C47E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：立即拆除所有模糊、脱落、褪色标识，临时张贴新标识，恢复现场标识警示功能。</w:t>
      </w:r>
    </w:p>
    <w:p w14:paraId="7AEBB3D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标识材质耐磨损、耐潮湿性能较差，适配车间环境不足；2. 无标识定期清洁、维护、更换机制；3. 日常点检忽略标识完好清晰度，管控不细致。</w:t>
      </w:r>
    </w:p>
    <w:p w14:paraId="5CC7981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统一更换防水、耐磨、高清标准化标识，提升耐用性；2. 建立标识月度清洁、季度排查更换机制；3. 将标识清晰、完好、牢固纳入日常现场稽查。</w:t>
      </w:r>
    </w:p>
    <w:p w14:paraId="1D742A2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：全厂区域标识清晰、牢固、无褪色脱落，现场标准化、目视化管控达标。</w:t>
      </w:r>
    </w:p>
    <w:p w14:paraId="7D14DF0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：常态化维护标识状态，及时清洁更换，保障标识长效有效。</w:t>
      </w:r>
    </w:p>
    <w:p w14:paraId="4DEB5BC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：现场标识管控合规，标准化达标，可结案。</w:t>
      </w:r>
    </w:p>
    <w:p w14:paraId="10DDF42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标识模糊脱落属于现场标准化细节缺陷，虽不直接产生静电风险，但会导致区域划分、作业规范无目视指引，新员工、外来人员无法快速识别管控要求，易引发违规作业。同时标识破损缺失是体系审厂基础扣分项，暴露现场精细化运维能力不足。</w:t>
      </w:r>
    </w:p>
    <w:p w14:paraId="54777C2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选用工业级防水耐磨标识材质，适配车间生产环境；2. 划分标识管护责任区，专人负责维护更新；3. 定期全面排查所有ESD标识，统一更新整改。</w:t>
      </w:r>
    </w:p>
    <w:p w14:paraId="19232638">
      <w:pPr>
        <w:pStyle w:val="4"/>
        <w:keepNext w:val="0"/>
        <w:keepLines w:val="0"/>
        <w:widowControl/>
        <w:suppressLineNumbers w:val="0"/>
        <w:jc w:val="left"/>
        <w:rPr>
          <w:rFonts w:hint="eastAsia" w:ascii="宋体" w:hAnsi="宋体" w:eastAsia="宋体" w:cs="宋体"/>
        </w:rPr>
      </w:pPr>
    </w:p>
    <w:p w14:paraId="72AB082C">
      <w:pPr>
        <w:pStyle w:val="4"/>
        <w:keepNext w:val="0"/>
        <w:keepLines w:val="0"/>
        <w:widowControl/>
        <w:suppressLineNumbers w:val="0"/>
        <w:jc w:val="left"/>
        <w:rPr>
          <w:rFonts w:hint="eastAsia" w:ascii="宋体" w:hAnsi="宋体" w:eastAsia="宋体" w:cs="宋体"/>
        </w:rPr>
      </w:pPr>
    </w:p>
    <w:p w14:paraId="25C607C7">
      <w:pPr>
        <w:pStyle w:val="4"/>
        <w:keepNext w:val="0"/>
        <w:keepLines w:val="0"/>
        <w:widowControl/>
        <w:suppressLineNumbers w:val="0"/>
        <w:jc w:val="left"/>
        <w:rPr>
          <w:rFonts w:hint="eastAsia" w:ascii="宋体" w:hAnsi="宋体" w:eastAsia="宋体" w:cs="宋体"/>
        </w:rPr>
      </w:pPr>
    </w:p>
    <w:p w14:paraId="4A5D527E">
      <w:pPr>
        <w:pStyle w:val="4"/>
        <w:keepNext w:val="0"/>
        <w:keepLines w:val="0"/>
        <w:widowControl/>
        <w:suppressLineNumbers w:val="0"/>
        <w:jc w:val="left"/>
        <w:rPr>
          <w:rFonts w:hint="eastAsia" w:ascii="宋体" w:hAnsi="宋体" w:eastAsia="宋体" w:cs="宋体"/>
        </w:rPr>
      </w:pPr>
    </w:p>
    <w:p w14:paraId="0BA8E0EC">
      <w:pPr>
        <w:pStyle w:val="4"/>
        <w:keepNext w:val="0"/>
        <w:keepLines w:val="0"/>
        <w:widowControl/>
        <w:suppressLineNumbers w:val="0"/>
        <w:jc w:val="left"/>
        <w:rPr>
          <w:rFonts w:hint="eastAsia" w:ascii="宋体" w:hAnsi="宋体" w:eastAsia="宋体" w:cs="宋体"/>
        </w:rPr>
      </w:pPr>
    </w:p>
    <w:p w14:paraId="3645991E">
      <w:pPr>
        <w:pStyle w:val="4"/>
        <w:keepNext w:val="0"/>
        <w:keepLines w:val="0"/>
        <w:widowControl/>
        <w:suppressLineNumbers w:val="0"/>
        <w:jc w:val="left"/>
        <w:rPr>
          <w:rFonts w:hint="eastAsia" w:ascii="宋体" w:hAnsi="宋体" w:eastAsia="宋体" w:cs="宋体"/>
        </w:rPr>
      </w:pPr>
    </w:p>
    <w:p w14:paraId="6E315A7F">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【NCR032】离子风机安装位置不合理</w:t>
      </w:r>
    </w:p>
    <w:p w14:paraId="32CAFD5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：部分工位离子风机安装距离作业区域过远、角度偏移，出风口未正对作业核心区域，静电中和覆盖不全，工位存在静电中和盲区，防护效果大打折扣。</w:t>
      </w:r>
    </w:p>
    <w:p w14:paraId="483DAD9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5.3 静电消除设备合理布设要求</w:t>
      </w:r>
    </w:p>
    <w:p w14:paraId="3796054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5.3 离子设备布设与有效覆盖规范</w:t>
      </w:r>
    </w:p>
    <w:p w14:paraId="757365F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32C341D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：立即调整离子风机安装位置与出风角度，正对作业核心区域，临时测试静电中和效果，确保全覆盖无盲区。</w:t>
      </w:r>
    </w:p>
    <w:p w14:paraId="022528B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设备安装未结合工位作业范围规划，仅凭经验布设；2. 安装后未做静电覆盖效果验证，防护有效性未确认；3. 工位改造、移位后未同步调整离子风机位置。</w:t>
      </w:r>
    </w:p>
    <w:p w14:paraId="43B2A5B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制定离子风机安装布设标准，明确安装距离、角度、覆盖范围；2. 所有风机安装、移位后必须开展静电中和效果验证；3. 工位布局调整后同步优化设备位置，保障全覆盖防护。</w:t>
      </w:r>
    </w:p>
    <w:p w14:paraId="4CD5DBF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：所有离子风机位置、角度合理，作业区域静电中和全覆盖，无防护盲区，除静电效能达标。</w:t>
      </w:r>
    </w:p>
    <w:p w14:paraId="4536F2A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：工位改造、设备移位后及时调整风机位置，定期验证防护效果。</w:t>
      </w:r>
    </w:p>
    <w:p w14:paraId="5841E53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：离子风机布设合规，防护效能达标，可结案。</w:t>
      </w:r>
    </w:p>
    <w:p w14:paraId="4AF04E6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离子风机除静电存在有效覆盖范围，安装位置偏移会导致核心作业区无有效静电中和，边缘区域无效吹风，出现「设备在用、防护无效」的假象。局部静电盲区会持续累积静电，导致产品在作业核心区域发生放电不良，属于设备布设不合理引发的防护失效隐患。</w:t>
      </w:r>
    </w:p>
    <w:p w14:paraId="2D65063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依据工位尺寸、作业范围标定风机安装标准参数；2. 每季度开展风机覆盖范围专项验证，优化布设位置；3. 高频作业、高敏感工位增设辅助离子风机，强化防护。</w:t>
      </w:r>
    </w:p>
    <w:p w14:paraId="7591F1F9">
      <w:pPr>
        <w:pStyle w:val="4"/>
        <w:keepNext w:val="0"/>
        <w:keepLines w:val="0"/>
        <w:widowControl/>
        <w:suppressLineNumbers w:val="0"/>
        <w:jc w:val="left"/>
        <w:rPr>
          <w:rFonts w:hint="eastAsia" w:ascii="宋体" w:hAnsi="宋体" w:eastAsia="宋体" w:cs="宋体"/>
        </w:rPr>
      </w:pPr>
    </w:p>
    <w:p w14:paraId="7591064E">
      <w:pPr>
        <w:pStyle w:val="4"/>
        <w:keepNext w:val="0"/>
        <w:keepLines w:val="0"/>
        <w:widowControl/>
        <w:suppressLineNumbers w:val="0"/>
        <w:jc w:val="left"/>
        <w:rPr>
          <w:rFonts w:hint="eastAsia" w:ascii="宋体" w:hAnsi="宋体" w:eastAsia="宋体" w:cs="宋体"/>
        </w:rPr>
      </w:pPr>
    </w:p>
    <w:p w14:paraId="5F7F8848">
      <w:pPr>
        <w:pStyle w:val="4"/>
        <w:keepNext w:val="0"/>
        <w:keepLines w:val="0"/>
        <w:widowControl/>
        <w:suppressLineNumbers w:val="0"/>
        <w:jc w:val="left"/>
        <w:rPr>
          <w:rFonts w:hint="eastAsia" w:ascii="宋体" w:hAnsi="宋体" w:eastAsia="宋体" w:cs="宋体"/>
        </w:rPr>
      </w:pPr>
    </w:p>
    <w:p w14:paraId="78794B2F">
      <w:pPr>
        <w:pStyle w:val="4"/>
        <w:keepNext w:val="0"/>
        <w:keepLines w:val="0"/>
        <w:widowControl/>
        <w:suppressLineNumbers w:val="0"/>
        <w:jc w:val="left"/>
        <w:rPr>
          <w:rFonts w:hint="eastAsia" w:ascii="宋体" w:hAnsi="宋体" w:eastAsia="宋体" w:cs="宋体"/>
        </w:rPr>
      </w:pPr>
    </w:p>
    <w:p w14:paraId="0AF90EF9">
      <w:pPr>
        <w:pStyle w:val="4"/>
        <w:keepNext w:val="0"/>
        <w:keepLines w:val="0"/>
        <w:widowControl/>
        <w:suppressLineNumbers w:val="0"/>
        <w:jc w:val="left"/>
        <w:rPr>
          <w:rFonts w:hint="eastAsia" w:ascii="宋体" w:hAnsi="宋体" w:eastAsia="宋体" w:cs="宋体"/>
        </w:rPr>
      </w:pPr>
    </w:p>
    <w:p w14:paraId="7BD45B62">
      <w:pPr>
        <w:pStyle w:val="4"/>
        <w:keepNext w:val="0"/>
        <w:keepLines w:val="0"/>
        <w:widowControl/>
        <w:suppressLineNumbers w:val="0"/>
        <w:jc w:val="left"/>
        <w:rPr>
          <w:rFonts w:hint="eastAsia" w:ascii="宋体" w:hAnsi="宋体" w:eastAsia="宋体" w:cs="宋体"/>
        </w:rPr>
      </w:pPr>
    </w:p>
    <w:p w14:paraId="2F5D5F3A">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【NCR033】无静电泄放提示区</w:t>
      </w:r>
    </w:p>
    <w:p w14:paraId="75F5AF9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：EPA区域入口未设置人体静电泄放提示区与泄放装置，人员入区前无强制静电释放流程，人体携带静电直接带入作业工位，存在放电风险。</w:t>
      </w:r>
    </w:p>
    <w:p w14:paraId="31238B5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6.2 人体入区静电泄放管控要求</w:t>
      </w:r>
    </w:p>
    <w:p w14:paraId="4AEB5C2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6.2 人员入区静电释放流程规范</w:t>
      </w:r>
    </w:p>
    <w:p w14:paraId="05FD0A2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7FD201C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：临时在入口摆放静电泄放球，强制要求所有人员入区前触摸泄放静电，落实入区静电释放流程。</w:t>
      </w:r>
    </w:p>
    <w:p w14:paraId="499A5D5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车间ESD区域规划不完善，缺失静电泄放功能区域；2. 无人员入区静电释放标准化流程，管控环节缺失；3. 对人体前置静电泄放的防护重要性认知不足。</w:t>
      </w:r>
    </w:p>
    <w:p w14:paraId="6711AB3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在所有EPA入口标准化设置静电泄放提示区，安装泄放装置、张贴操作提示；2. 固化人员入区先泄放静电、再穿戴作业的标准流程；3. 将入区静电泄放执行情况纳入日常稽查。</w:t>
      </w:r>
    </w:p>
    <w:p w14:paraId="2BBE26A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：全域EPA入口均设置规范静电泄放区，人员入区静电释放流程落地，人体前置静电风险清零。</w:t>
      </w:r>
    </w:p>
    <w:p w14:paraId="3D39D44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：常态化监督入区静电泄放执行，保障流程长效落地。</w:t>
      </w:r>
    </w:p>
    <w:p w14:paraId="3D5E432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：人员前置静电防护闭环，区域管控完善，可结案。</w:t>
      </w:r>
    </w:p>
    <w:p w14:paraId="6387781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人员行走、穿衣摩擦会携带大量人体静电，直接进入EPA工位会将高压静电带入作业区域，接触产品瞬间极易放电击穿。无静电泄放提示区与前置流程，会导致人体静电无前置清零环节，所有工位防护压力全部后置，大幅提升产品静电不良概率。</w:t>
      </w:r>
    </w:p>
    <w:p w14:paraId="0A36B1E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泄放区张贴标准化操作步骤、静电风险警示；2. 新增人员、外来人员重点培训入区泄放流程；3. 定期检测泄放装置有效性，确保功能正常。</w:t>
      </w:r>
    </w:p>
    <w:p w14:paraId="316E62C6">
      <w:pPr>
        <w:pStyle w:val="4"/>
        <w:keepNext w:val="0"/>
        <w:keepLines w:val="0"/>
        <w:widowControl/>
        <w:suppressLineNumbers w:val="0"/>
        <w:jc w:val="left"/>
        <w:rPr>
          <w:rFonts w:hint="eastAsia" w:ascii="宋体" w:hAnsi="宋体" w:eastAsia="宋体" w:cs="宋体"/>
        </w:rPr>
      </w:pPr>
    </w:p>
    <w:p w14:paraId="1A04855B">
      <w:pPr>
        <w:pStyle w:val="4"/>
        <w:keepNext w:val="0"/>
        <w:keepLines w:val="0"/>
        <w:widowControl/>
        <w:suppressLineNumbers w:val="0"/>
        <w:jc w:val="left"/>
        <w:rPr>
          <w:rFonts w:hint="eastAsia" w:ascii="宋体" w:hAnsi="宋体" w:eastAsia="宋体" w:cs="宋体"/>
        </w:rPr>
      </w:pPr>
    </w:p>
    <w:p w14:paraId="4021D090">
      <w:pPr>
        <w:pStyle w:val="4"/>
        <w:keepNext w:val="0"/>
        <w:keepLines w:val="0"/>
        <w:widowControl/>
        <w:suppressLineNumbers w:val="0"/>
        <w:jc w:val="left"/>
        <w:rPr>
          <w:rFonts w:hint="eastAsia" w:ascii="宋体" w:hAnsi="宋体" w:eastAsia="宋体" w:cs="宋体"/>
        </w:rPr>
      </w:pPr>
    </w:p>
    <w:p w14:paraId="66EB99CA">
      <w:pPr>
        <w:pStyle w:val="4"/>
        <w:keepNext w:val="0"/>
        <w:keepLines w:val="0"/>
        <w:widowControl/>
        <w:suppressLineNumbers w:val="0"/>
        <w:jc w:val="left"/>
        <w:rPr>
          <w:rFonts w:hint="eastAsia" w:ascii="宋体" w:hAnsi="宋体" w:eastAsia="宋体" w:cs="宋体"/>
        </w:rPr>
      </w:pPr>
    </w:p>
    <w:p w14:paraId="43F40719">
      <w:pPr>
        <w:pStyle w:val="4"/>
        <w:keepNext w:val="0"/>
        <w:keepLines w:val="0"/>
        <w:widowControl/>
        <w:suppressLineNumbers w:val="0"/>
        <w:jc w:val="left"/>
        <w:rPr>
          <w:rFonts w:hint="eastAsia" w:ascii="宋体" w:hAnsi="宋体" w:eastAsia="宋体" w:cs="宋体"/>
        </w:rPr>
      </w:pPr>
    </w:p>
    <w:p w14:paraId="2D0CB60E">
      <w:pPr>
        <w:pStyle w:val="4"/>
        <w:keepNext w:val="0"/>
        <w:keepLines w:val="0"/>
        <w:widowControl/>
        <w:suppressLineNumbers w:val="0"/>
        <w:jc w:val="left"/>
        <w:rPr>
          <w:rFonts w:hint="eastAsia" w:ascii="宋体" w:hAnsi="宋体" w:eastAsia="宋体" w:cs="宋体"/>
        </w:rPr>
      </w:pPr>
    </w:p>
    <w:p w14:paraId="3AE235D4">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【NCR034】使用普通清洁工具</w:t>
      </w:r>
    </w:p>
    <w:p w14:paraId="2346055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：EPA工位清洁使用普通塑料扫把、化纤抹布、普通水桶等非防静电清洁工具，清洁摩擦过程中会产生大量静电，污染工位静电环境。</w:t>
      </w:r>
    </w:p>
    <w:p w14:paraId="385C610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EPA工位工具防静电要求</w:t>
      </w:r>
    </w:p>
    <w:p w14:paraId="4463520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防静电区域工具合规使用规范</w:t>
      </w:r>
    </w:p>
    <w:p w14:paraId="4A11376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D5A755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：立即回收所有普通清洁工具，禁止在EPA区域使用，临时启用备用防静电清洁工具开展工位清洁。</w:t>
      </w:r>
    </w:p>
    <w:p w14:paraId="79AD552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未配备专用防静电清洁工具，工具配置不完善；2. 员工不清楚普通清洁工具的静电风险，随意混用；3. 工具使用管控无明确规范，稽查未覆盖清洁工具。</w:t>
      </w:r>
    </w:p>
    <w:p w14:paraId="2AF1FD5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统一采购全套防静电扫把、抹布、清洁容器，专供EPA区域使用；2. 明确普通清洁工具严禁进入防静电区域，划分工具使用区域；3. 将清洁工具合规性纳入日常工位检查。</w:t>
      </w:r>
    </w:p>
    <w:p w14:paraId="4E41CF6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：EPA区域全部使用合规防静电清洁工具，无普通绝缘工具混用，清洁作业无静电产生风险。</w:t>
      </w:r>
    </w:p>
    <w:p w14:paraId="4498B58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：专人管理防静电清洁工具，严禁混用普通工具，定期核查工具状态。</w:t>
      </w:r>
    </w:p>
    <w:p w14:paraId="19D67A9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：工位工具管控合规，清洁作业风险闭环，可结案。</w:t>
      </w:r>
    </w:p>
    <w:p w14:paraId="6AC40CF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化纤、塑料普通清洁工具属于高静电产生材质，清洁擦拭台面、设备时高速摩擦，会瞬间产生数万伏静电，直接附着在工位、产品表面，且无法快速泄放。日常清洁是高频作业，工具不合规会导致工位静电环境持续恶化，成为常态化静电不良诱因。</w:t>
      </w:r>
    </w:p>
    <w:p w14:paraId="316FC19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防静电清洁工具专属存放、专属使用，贴标区分；2. 定期清洁、晾晒防静电抹布，避免积尘影响防静电性能；3. 对保洁人员开展ESD工具使用专项培训。</w:t>
      </w:r>
    </w:p>
    <w:p w14:paraId="2EC19AC2">
      <w:pPr>
        <w:rPr>
          <w:rFonts w:hint="eastAsia" w:ascii="宋体" w:hAnsi="宋体" w:eastAsia="宋体" w:cs="宋体"/>
        </w:rPr>
      </w:pPr>
    </w:p>
    <w:p w14:paraId="56B54D9D">
      <w:pPr>
        <w:rPr>
          <w:rFonts w:hint="eastAsia" w:ascii="宋体" w:hAnsi="宋体" w:eastAsia="宋体" w:cs="宋体"/>
        </w:rPr>
      </w:pPr>
    </w:p>
    <w:p w14:paraId="73D47613">
      <w:pPr>
        <w:rPr>
          <w:rFonts w:hint="eastAsia" w:ascii="宋体" w:hAnsi="宋体" w:eastAsia="宋体" w:cs="宋体"/>
        </w:rPr>
      </w:pPr>
    </w:p>
    <w:p w14:paraId="52429829">
      <w:pPr>
        <w:pStyle w:val="4"/>
        <w:keepNext w:val="0"/>
        <w:keepLines w:val="0"/>
        <w:widowControl/>
        <w:suppressLineNumbers w:val="0"/>
        <w:jc w:val="left"/>
        <w:rPr>
          <w:rFonts w:hint="eastAsia" w:ascii="宋体" w:hAnsi="宋体" w:eastAsia="宋体" w:cs="宋体"/>
        </w:rPr>
      </w:pPr>
    </w:p>
    <w:p w14:paraId="655D6951">
      <w:pPr>
        <w:pStyle w:val="4"/>
        <w:keepNext w:val="0"/>
        <w:keepLines w:val="0"/>
        <w:widowControl/>
        <w:suppressLineNumbers w:val="0"/>
        <w:jc w:val="left"/>
        <w:rPr>
          <w:rFonts w:hint="eastAsia" w:ascii="宋体" w:hAnsi="宋体" w:eastAsia="宋体" w:cs="宋体"/>
        </w:rPr>
      </w:pPr>
    </w:p>
    <w:p w14:paraId="6A5FAE7D">
      <w:pPr>
        <w:pStyle w:val="4"/>
        <w:keepNext w:val="0"/>
        <w:keepLines w:val="0"/>
        <w:widowControl/>
        <w:suppressLineNumbers w:val="0"/>
        <w:jc w:val="left"/>
        <w:rPr>
          <w:rFonts w:hint="eastAsia" w:ascii="宋体" w:hAnsi="宋体" w:eastAsia="宋体" w:cs="宋体"/>
        </w:rPr>
      </w:pPr>
    </w:p>
    <w:p w14:paraId="5655AA57">
      <w:pPr>
        <w:pStyle w:val="4"/>
        <w:keepNext w:val="0"/>
        <w:keepLines w:val="0"/>
        <w:widowControl/>
        <w:suppressLineNumbers w:val="0"/>
        <w:jc w:val="left"/>
        <w:rPr>
          <w:rFonts w:hint="eastAsia" w:ascii="宋体" w:hAnsi="宋体" w:eastAsia="宋体" w:cs="宋体"/>
        </w:rPr>
      </w:pPr>
    </w:p>
    <w:p w14:paraId="3E2152C1">
      <w:pPr>
        <w:pStyle w:val="4"/>
        <w:keepNext w:val="0"/>
        <w:keepLines w:val="0"/>
        <w:widowControl/>
        <w:suppressLineNumbers w:val="0"/>
        <w:jc w:val="left"/>
        <w:rPr>
          <w:rFonts w:hint="eastAsia" w:ascii="宋体" w:hAnsi="宋体" w:eastAsia="宋体" w:cs="宋体"/>
        </w:rPr>
      </w:pPr>
    </w:p>
    <w:p w14:paraId="6612D213">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【NCR035】工位静电电压超标</w:t>
      </w:r>
    </w:p>
    <w:p w14:paraId="3804B58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：现场静电巡检实测多个作业工位台面、工装、治具表面静电电压超出管控阈值（＞±100V），表面残留静电荷无法正常泄放中和，作业过程中存在持续性静电放电击穿元器件风险。</w:t>
      </w:r>
    </w:p>
    <w:p w14:paraId="248FA68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5.3 静电防护区域表面电位管控要求</w:t>
      </w:r>
    </w:p>
    <w:p w14:paraId="06ED3DF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5.3 工作表面静电电位限值规范</w:t>
      </w:r>
    </w:p>
    <w:p w14:paraId="7BEB962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D9147B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：立即对所有超标工位开启离子风机全域除静电，人工擦拭台面释放残留电荷，逐工位复测电压，全部降至标准范围内后方可恢复生产，临时加密工位静电抽检频次。</w:t>
      </w:r>
    </w:p>
    <w:p w14:paraId="2597B19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环境湿度偏低、绝缘杂物残留台面，导致静电消散速率不足；2. 离子风机摆放角度不合理、清洁不到位，除静电效能下降；3. 无工位静电常态化抽检机制，超标问题无法及时发现。</w:t>
      </w:r>
    </w:p>
    <w:p w14:paraId="6425CFC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固化工位班前离子风机预开机除静电流程，作业全程设备开启；2. 落实工位无绝缘杂物、无违禁品管控，保障静电泄放通道通畅；3. 建立每日工位静电电压抽检台账，异常即时停机整改。</w:t>
      </w:r>
    </w:p>
    <w:p w14:paraId="788FDBA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：全区域工位静电电压全部稳定在±100V以内，静电残留清零，作业环境静电平衡达标。</w:t>
      </w:r>
    </w:p>
    <w:p w14:paraId="2F6EA1B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：常态化执行工位静电抽检、设备点检、环境湿度管控，杜绝静电累积超标。</w:t>
      </w:r>
    </w:p>
    <w:p w14:paraId="6519BC4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：工位静电环境管控闭环，超标隐患清零，可结案。</w:t>
      </w:r>
    </w:p>
    <w:p w14:paraId="7E3BE60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工位静电电压超标是现场最直接的产品不良诱因，相较于接地异常、设备隐患，表面静电超标无需击穿条件累积，可直接在物料接触、贴合、焊接瞬间发生ESD损伤。多数隐性失效、批次偶发不良均来源于工位常态化静电超标，属于现场高频、高风险显性隐患，直接关联制程良率与质量稳定性。</w:t>
      </w:r>
    </w:p>
    <w:p w14:paraId="5770E53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干燥季节增设工位局部加湿，提升静电自然消散效率；2. 对高频超标工位增加离子风覆盖，优化设备布局；3. 将静电电压数据与制程不良数据联动复盘，精准定位风险工位。</w:t>
      </w:r>
    </w:p>
    <w:p w14:paraId="499628D4">
      <w:pPr>
        <w:pStyle w:val="4"/>
        <w:keepNext w:val="0"/>
        <w:keepLines w:val="0"/>
        <w:widowControl/>
        <w:suppressLineNumbers w:val="0"/>
        <w:jc w:val="left"/>
        <w:rPr>
          <w:rFonts w:hint="eastAsia" w:ascii="宋体" w:hAnsi="宋体" w:eastAsia="宋体" w:cs="宋体"/>
        </w:rPr>
      </w:pPr>
    </w:p>
    <w:p w14:paraId="3C492B86">
      <w:pPr>
        <w:pStyle w:val="4"/>
        <w:keepNext w:val="0"/>
        <w:keepLines w:val="0"/>
        <w:widowControl/>
        <w:suppressLineNumbers w:val="0"/>
        <w:jc w:val="left"/>
        <w:rPr>
          <w:rFonts w:hint="eastAsia" w:ascii="宋体" w:hAnsi="宋体" w:eastAsia="宋体" w:cs="宋体"/>
        </w:rPr>
      </w:pPr>
    </w:p>
    <w:p w14:paraId="325E702E">
      <w:pPr>
        <w:pStyle w:val="4"/>
        <w:keepNext w:val="0"/>
        <w:keepLines w:val="0"/>
        <w:widowControl/>
        <w:suppressLineNumbers w:val="0"/>
        <w:jc w:val="left"/>
        <w:rPr>
          <w:rFonts w:hint="eastAsia" w:ascii="宋体" w:hAnsi="宋体" w:eastAsia="宋体" w:cs="宋体"/>
        </w:rPr>
      </w:pPr>
    </w:p>
    <w:p w14:paraId="6844280D">
      <w:pPr>
        <w:pStyle w:val="4"/>
        <w:keepNext w:val="0"/>
        <w:keepLines w:val="0"/>
        <w:widowControl/>
        <w:suppressLineNumbers w:val="0"/>
        <w:jc w:val="left"/>
        <w:rPr>
          <w:rFonts w:hint="eastAsia" w:ascii="宋体" w:hAnsi="宋体" w:eastAsia="宋体" w:cs="宋体"/>
        </w:rPr>
      </w:pPr>
    </w:p>
    <w:p w14:paraId="0BCBF5B5">
      <w:pPr>
        <w:pStyle w:val="4"/>
        <w:keepNext w:val="0"/>
        <w:keepLines w:val="0"/>
        <w:widowControl/>
        <w:suppressLineNumbers w:val="0"/>
        <w:jc w:val="left"/>
        <w:rPr>
          <w:rFonts w:hint="eastAsia" w:ascii="宋体" w:hAnsi="宋体" w:eastAsia="宋体" w:cs="宋体"/>
        </w:rPr>
      </w:pPr>
    </w:p>
    <w:p w14:paraId="121C50E3">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【NCR036】消防设施无防静电隔离</w:t>
      </w:r>
    </w:p>
    <w:p w14:paraId="0D3EA83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：EPA防静电区域内消防箱体、消防管道、金属消防构件未做防静电隔离处理，金属构件裸露接地，与工位作业区域形成电位差，存在跨距静电放电风险。</w:t>
      </w:r>
    </w:p>
    <w:p w14:paraId="1622473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区域金属构件等电位隔离管控要求</w:t>
      </w:r>
    </w:p>
    <w:p w14:paraId="3593F26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EPA区域异种金属电位隔离规范</w:t>
      </w:r>
    </w:p>
    <w:p w14:paraId="7F1A5D1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39B24C9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：临时对裸露消防金属构件粘贴绝缘隔离垫片，划定安全隔离区域，禁止物料、人员近距离接触消防金属构件，规避电位差放电风险。</w:t>
      </w:r>
    </w:p>
    <w:p w14:paraId="05C1A70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车间前期规划未将消防设施纳入EPA防静电隔离管控范围；2. 设施改造、维保未同步配套防静电隔离措施；3. ESD稽查清单缺失消防构件隔离检查项目，管控盲区。</w:t>
      </w:r>
    </w:p>
    <w:p w14:paraId="384BECB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对全域EPA区域消防箱体、管道、支架统一加装防静电隔离护套、绝缘垫片；2. 修订区域管控规范，明确公共金属构件防静电隔离标准；3. 将消防设施防静电隔离纳入季度ESD专项稽查必查项。</w:t>
      </w:r>
    </w:p>
    <w:p w14:paraId="4F68BA8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：所有消防金属构件均完成防静电隔离改造，与作业区域电位隔离正常，无放电隐患。</w:t>
      </w:r>
    </w:p>
    <w:p w14:paraId="63B1034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：消防维保、改造后同步核查防静电隔离完整性，定期巡检隔离状态。</w:t>
      </w:r>
    </w:p>
    <w:p w14:paraId="4B0327D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：消防设施防静电管控合规，风险闭环，可结案。</w:t>
      </w:r>
    </w:p>
    <w:p w14:paraId="43F4D7D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建筑消防金属构件为全域公共接地，与车间设备等电位接地存在天然电位差，属于典型的跨系统电位干扰源。人员、物料近距离经过或接触时，极易产生指尖放电、物料感应放电，该隐患长期被忽视，属于体系规划层面的结构性ESD漏洞。</w:t>
      </w:r>
    </w:p>
    <w:p w14:paraId="40B884D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消防设施周边划定ESD安全隔离区，张贴警示标识；2. 新建、改造消防工程必须同步完成ESD隔离验收；3. 纳入厂房ESD年度风险评估重点项目。</w:t>
      </w:r>
    </w:p>
    <w:p w14:paraId="2CAB2A08">
      <w:pPr>
        <w:pStyle w:val="4"/>
        <w:keepNext w:val="0"/>
        <w:keepLines w:val="0"/>
        <w:widowControl/>
        <w:suppressLineNumbers w:val="0"/>
        <w:jc w:val="left"/>
        <w:rPr>
          <w:rFonts w:hint="eastAsia" w:ascii="宋体" w:hAnsi="宋体" w:eastAsia="宋体" w:cs="宋体"/>
        </w:rPr>
      </w:pPr>
    </w:p>
    <w:p w14:paraId="408FE7C0">
      <w:pPr>
        <w:pStyle w:val="4"/>
        <w:keepNext w:val="0"/>
        <w:keepLines w:val="0"/>
        <w:widowControl/>
        <w:suppressLineNumbers w:val="0"/>
        <w:jc w:val="left"/>
        <w:rPr>
          <w:rFonts w:hint="eastAsia" w:ascii="宋体" w:hAnsi="宋体" w:eastAsia="宋体" w:cs="宋体"/>
        </w:rPr>
      </w:pPr>
    </w:p>
    <w:p w14:paraId="62D39673">
      <w:pPr>
        <w:pStyle w:val="4"/>
        <w:keepNext w:val="0"/>
        <w:keepLines w:val="0"/>
        <w:widowControl/>
        <w:suppressLineNumbers w:val="0"/>
        <w:jc w:val="left"/>
        <w:rPr>
          <w:rFonts w:hint="eastAsia" w:ascii="宋体" w:hAnsi="宋体" w:eastAsia="宋体" w:cs="宋体"/>
        </w:rPr>
      </w:pPr>
    </w:p>
    <w:p w14:paraId="3E9EF62A">
      <w:pPr>
        <w:pStyle w:val="4"/>
        <w:keepNext w:val="0"/>
        <w:keepLines w:val="0"/>
        <w:widowControl/>
        <w:suppressLineNumbers w:val="0"/>
        <w:jc w:val="left"/>
        <w:rPr>
          <w:rFonts w:hint="eastAsia" w:ascii="宋体" w:hAnsi="宋体" w:eastAsia="宋体" w:cs="宋体"/>
        </w:rPr>
      </w:pPr>
    </w:p>
    <w:p w14:paraId="1096DF5B">
      <w:pPr>
        <w:pStyle w:val="4"/>
        <w:keepNext w:val="0"/>
        <w:keepLines w:val="0"/>
        <w:widowControl/>
        <w:suppressLineNumbers w:val="0"/>
        <w:jc w:val="left"/>
        <w:rPr>
          <w:rFonts w:hint="eastAsia" w:ascii="宋体" w:hAnsi="宋体" w:eastAsia="宋体" w:cs="宋体"/>
        </w:rPr>
      </w:pPr>
    </w:p>
    <w:p w14:paraId="3F447467">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【NCR037】分区立柱无边界标识</w:t>
      </w:r>
    </w:p>
    <w:p w14:paraId="490B14E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：EPA与非EPA分区立柱、区域分界位置未设置清晰边界标识，区域分界线模糊，人员、物料无法精准识别分区范围，易出现无意识跨区混流作业。</w:t>
      </w:r>
    </w:p>
    <w:p w14:paraId="3A95D05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EPA区域边界可视化标识要求</w:t>
      </w:r>
    </w:p>
    <w:p w14:paraId="0D0E284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静电防护区域边界标识规范</w:t>
      </w:r>
    </w:p>
    <w:p w14:paraId="6216A60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55D559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：临时使用防静电警示胶带划定区域边界，临时标注分区范围，杜绝跨区混流问题。</w:t>
      </w:r>
    </w:p>
    <w:p w14:paraId="5CD2BC8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区域划分完成后未同步配置立柱边界标识，目视化配套缺失；2. 日常稽核仅关注入口标识，忽略立柱分界点位标识；3. 无区域边界标识常态化维护机制。</w:t>
      </w:r>
    </w:p>
    <w:p w14:paraId="688A7CE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所有分区立柱、分界点位统一加装标准化EPA边界标识；2. 地面标线+立柱标识双向可视化分区，做到全域边界清晰；3. 将边界标识完好、清晰纳入每日现场稽查。</w:t>
      </w:r>
    </w:p>
    <w:p w14:paraId="0161A48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：全厂分区边界标识全覆盖、无盲区，区域划分清晰明确，无跨区混流隐患。</w:t>
      </w:r>
    </w:p>
    <w:p w14:paraId="507E203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：定期排查边界标识完好性，破损、脱落即时补装更新。</w:t>
      </w:r>
    </w:p>
    <w:p w14:paraId="03984A3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：区域边界管控标准化达标，可结案。</w:t>
      </w:r>
    </w:p>
    <w:p w14:paraId="416D744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区域边界标识是EPA分区管控的基础目视依据，边界模糊会直接导致分区管理制度无法落地，普通物料、绝缘工具、无防护人员极易误入防静电区域，持续破坏区域静电环境。属于现场标准化薄弱、精细化管控不足的典型问题，为审厂高频扣分项。</w:t>
      </w:r>
    </w:p>
    <w:p w14:paraId="5FE6480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统一采用高耐磨、工业级边界标识，适配车间生产环境；2. 边界标识同步标注区域管控等级与禁止事项；3. 划分责任工位包干维护区域标识。</w:t>
      </w:r>
    </w:p>
    <w:p w14:paraId="4066BB0B">
      <w:pPr>
        <w:pStyle w:val="4"/>
        <w:keepNext w:val="0"/>
        <w:keepLines w:val="0"/>
        <w:widowControl/>
        <w:suppressLineNumbers w:val="0"/>
        <w:jc w:val="left"/>
        <w:rPr>
          <w:rFonts w:hint="eastAsia" w:ascii="宋体" w:hAnsi="宋体" w:eastAsia="宋体" w:cs="宋体"/>
        </w:rPr>
      </w:pPr>
    </w:p>
    <w:p w14:paraId="08F31667">
      <w:pPr>
        <w:pStyle w:val="4"/>
        <w:keepNext w:val="0"/>
        <w:keepLines w:val="0"/>
        <w:widowControl/>
        <w:suppressLineNumbers w:val="0"/>
        <w:jc w:val="left"/>
        <w:rPr>
          <w:rFonts w:hint="eastAsia" w:ascii="宋体" w:hAnsi="宋体" w:eastAsia="宋体" w:cs="宋体"/>
        </w:rPr>
      </w:pPr>
    </w:p>
    <w:p w14:paraId="58F2C764">
      <w:pPr>
        <w:pStyle w:val="4"/>
        <w:keepNext w:val="0"/>
        <w:keepLines w:val="0"/>
        <w:widowControl/>
        <w:suppressLineNumbers w:val="0"/>
        <w:jc w:val="left"/>
        <w:rPr>
          <w:rFonts w:hint="eastAsia" w:ascii="宋体" w:hAnsi="宋体" w:eastAsia="宋体" w:cs="宋体"/>
        </w:rPr>
      </w:pPr>
    </w:p>
    <w:p w14:paraId="1AD336D5">
      <w:pPr>
        <w:pStyle w:val="4"/>
        <w:keepNext w:val="0"/>
        <w:keepLines w:val="0"/>
        <w:widowControl/>
        <w:suppressLineNumbers w:val="0"/>
        <w:jc w:val="left"/>
        <w:rPr>
          <w:rFonts w:hint="eastAsia" w:ascii="宋体" w:hAnsi="宋体" w:eastAsia="宋体" w:cs="宋体"/>
        </w:rPr>
      </w:pPr>
    </w:p>
    <w:p w14:paraId="326ABAAB">
      <w:pPr>
        <w:pStyle w:val="4"/>
        <w:keepNext w:val="0"/>
        <w:keepLines w:val="0"/>
        <w:widowControl/>
        <w:suppressLineNumbers w:val="0"/>
        <w:jc w:val="left"/>
        <w:rPr>
          <w:rFonts w:hint="eastAsia" w:ascii="宋体" w:hAnsi="宋体" w:eastAsia="宋体" w:cs="宋体"/>
        </w:rPr>
      </w:pPr>
    </w:p>
    <w:p w14:paraId="3A060DB9">
      <w:pPr>
        <w:pStyle w:val="4"/>
        <w:keepNext w:val="0"/>
        <w:keepLines w:val="0"/>
        <w:widowControl/>
        <w:suppressLineNumbers w:val="0"/>
        <w:jc w:val="left"/>
        <w:rPr>
          <w:rFonts w:hint="eastAsia" w:ascii="宋体" w:hAnsi="宋体" w:eastAsia="宋体" w:cs="宋体"/>
        </w:rPr>
      </w:pPr>
    </w:p>
    <w:p w14:paraId="0CAA4E02">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【NCR038】通道堆放敏感物料</w:t>
      </w:r>
    </w:p>
    <w:p w14:paraId="360BCF3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：EPA安全通道、通行区域违规堆放PCBA板、IC芯片、半成品等静电敏感物料，通道物料无防护、无静置管控，人员通行摩擦易引发静电感应损伤。</w:t>
      </w:r>
    </w:p>
    <w:p w14:paraId="7564BEC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EPA区域物料定点存放管控要求</w:t>
      </w:r>
    </w:p>
    <w:p w14:paraId="1314AB0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静电敏感物料定点存放规范</w:t>
      </w:r>
    </w:p>
    <w:p w14:paraId="6B5BC65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FAF30E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：立即清空通道所有敏感物料，全部转移至合规防静电存放工位/周转箱，清理通道恢复畅通，临时禁止通道临时堆料行为。</w:t>
      </w:r>
    </w:p>
    <w:p w14:paraId="00FDBAB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员工贪图作业便利，违规临时堆放物料，作业习惯不规范；2. 现场物料定点存放管控不严，无通道禁堆管控要求；3. 巡检对通道物料堆放违规查处力度不足。</w:t>
      </w:r>
    </w:p>
    <w:p w14:paraId="397923E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明确EPA通道全域禁止堆放任何物料、工具、杂物；2. 划定专属物料暂存区，所有敏感物料定点、定容、定量存放；3. 将通道违规堆料纳入日常ESD+5S联合稽查考核。</w:t>
      </w:r>
    </w:p>
    <w:p w14:paraId="5F876E1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：车间通道全部畅通无堆料，敏感物料全部合规定点存放，通道静电风险清零。</w:t>
      </w:r>
    </w:p>
    <w:p w14:paraId="6B610E1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：常态化巡查通道管控，严抓临时堆料违规行为，固化规范作业习惯。</w:t>
      </w:r>
    </w:p>
    <w:p w14:paraId="169433A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：通道物料管控合规，隐患闭环，可结案。</w:t>
      </w:r>
    </w:p>
    <w:p w14:paraId="31AEC64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通道为高频人员通行区域，空气摩擦、人员走动会持续产生浮动静电场，敏感物料裸露堆放极易感应带电，造成隐性击穿、参数偏移。同时通道堆料遮挡作业动线，叠加ESD风险与安全风险，属于现场习惯性违规、重复性ESD隐患。</w:t>
      </w:r>
    </w:p>
    <w:p w14:paraId="71EC6D5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通道醒目位置张贴禁止堆料警示标识；2. 高峰期加密通道巡检频次，杜绝临时堆放；3. 违规堆料纳入班组绩效考核，强化执行力。</w:t>
      </w:r>
    </w:p>
    <w:p w14:paraId="342D8E69">
      <w:pPr>
        <w:pStyle w:val="4"/>
        <w:keepNext w:val="0"/>
        <w:keepLines w:val="0"/>
        <w:widowControl/>
        <w:suppressLineNumbers w:val="0"/>
        <w:jc w:val="left"/>
        <w:rPr>
          <w:rFonts w:hint="eastAsia" w:ascii="宋体" w:hAnsi="宋体" w:eastAsia="宋体" w:cs="宋体"/>
        </w:rPr>
      </w:pPr>
    </w:p>
    <w:p w14:paraId="583541A4">
      <w:pPr>
        <w:pStyle w:val="4"/>
        <w:keepNext w:val="0"/>
        <w:keepLines w:val="0"/>
        <w:widowControl/>
        <w:suppressLineNumbers w:val="0"/>
        <w:jc w:val="left"/>
        <w:rPr>
          <w:rFonts w:hint="eastAsia" w:ascii="宋体" w:hAnsi="宋体" w:eastAsia="宋体" w:cs="宋体"/>
        </w:rPr>
      </w:pPr>
    </w:p>
    <w:p w14:paraId="4BBB2AC6">
      <w:pPr>
        <w:pStyle w:val="4"/>
        <w:keepNext w:val="0"/>
        <w:keepLines w:val="0"/>
        <w:widowControl/>
        <w:suppressLineNumbers w:val="0"/>
        <w:jc w:val="left"/>
        <w:rPr>
          <w:rFonts w:hint="eastAsia" w:ascii="宋体" w:hAnsi="宋体" w:eastAsia="宋体" w:cs="宋体"/>
        </w:rPr>
      </w:pPr>
    </w:p>
    <w:p w14:paraId="42223109">
      <w:pPr>
        <w:pStyle w:val="4"/>
        <w:keepNext w:val="0"/>
        <w:keepLines w:val="0"/>
        <w:widowControl/>
        <w:suppressLineNumbers w:val="0"/>
        <w:jc w:val="left"/>
        <w:rPr>
          <w:rFonts w:hint="eastAsia" w:ascii="宋体" w:hAnsi="宋体" w:eastAsia="宋体" w:cs="宋体"/>
        </w:rPr>
      </w:pPr>
    </w:p>
    <w:p w14:paraId="5852F39D">
      <w:pPr>
        <w:pStyle w:val="4"/>
        <w:keepNext w:val="0"/>
        <w:keepLines w:val="0"/>
        <w:widowControl/>
        <w:suppressLineNumbers w:val="0"/>
        <w:jc w:val="left"/>
        <w:rPr>
          <w:rFonts w:hint="eastAsia" w:ascii="宋体" w:hAnsi="宋体" w:eastAsia="宋体" w:cs="宋体"/>
        </w:rPr>
      </w:pPr>
    </w:p>
    <w:p w14:paraId="038B189C">
      <w:pPr>
        <w:pStyle w:val="4"/>
        <w:keepNext w:val="0"/>
        <w:keepLines w:val="0"/>
        <w:widowControl/>
        <w:suppressLineNumbers w:val="0"/>
        <w:jc w:val="left"/>
        <w:rPr>
          <w:rFonts w:hint="eastAsia" w:ascii="宋体" w:hAnsi="宋体" w:eastAsia="宋体" w:cs="宋体"/>
        </w:rPr>
      </w:pPr>
    </w:p>
    <w:p w14:paraId="5387F9D6">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【NCR039】地坪污染导电异常</w:t>
      </w:r>
    </w:p>
    <w:p w14:paraId="757B6AF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：部分EPA地坪存在油污、粉尘、胶水残留污染，污染区域地坪表面电阻异常偏高，导电、泄放性能失效，局部区域静电无法正常导入大地。</w:t>
      </w:r>
    </w:p>
    <w:p w14:paraId="17C8935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防静电地坪持续导通性能要求</w:t>
      </w:r>
    </w:p>
    <w:p w14:paraId="4E33AE0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防静电地面清洁与性能运维规范</w:t>
      </w:r>
    </w:p>
    <w:p w14:paraId="6557366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70BED8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：立即对污染地坪进行全面清洁、除油除尘，复测地坪电阻，异常区域临时标识隔离，禁止摆放敏感物料作业。</w:t>
      </w:r>
    </w:p>
    <w:p w14:paraId="78DE212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工位日常清洁不到位，油污、粉尘长期堆积覆盖地坪导电层；2. 清洁未使用适配防静电清洁介质，残留杂质影响导通；3. 无地坪电阻分区复测机制，污染导致的性能衰减未及时发现。</w:t>
      </w:r>
    </w:p>
    <w:p w14:paraId="6CA2FFC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制定EPA地坪专项清洁SOP，使用合规防静电清洁剂，每日保洁；2. 建立地坪分区月度电阻检测台账，污染、异常区域立即整改；3. 规范工位操作，杜绝油污、胶水、物料残渣落地污染地坪。</w:t>
      </w:r>
    </w:p>
    <w:p w14:paraId="2DE061B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：全域地坪清洁无残留污染，各分区电阻检测全部达标，导电泄放性能恢复正常。</w:t>
      </w:r>
    </w:p>
    <w:p w14:paraId="645FCF3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：常态化落实地坪保洁与性能抽检，杜绝污染堆积导致导电异常。</w:t>
      </w:r>
    </w:p>
    <w:p w14:paraId="0FD6D51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：地坪性能管控闭环，风险清零，可结案。</w:t>
      </w:r>
    </w:p>
    <w:p w14:paraId="378952F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防静电地坪依靠表层导电涂层实现静电泄放，油污、粉尘属于绝缘覆盖层，会直接阻断导电通路，使局部地坪由导通状态转为绝缘状态。局部绝缘区域会持续累积静电，形成工位静电盲区，是区域性静电不良的重要诱因，隐蔽性强、影响范围广。</w:t>
      </w:r>
    </w:p>
    <w:p w14:paraId="3B715A3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重点作业区域增加地坪防护垫，减少直接污染磨损；2. 建立地坪保养台账，定期养护恢复表层导电性能；3. 污染高发工位增设接料盘，杜绝残渣落地。</w:t>
      </w:r>
    </w:p>
    <w:p w14:paraId="782DDFAB">
      <w:pPr>
        <w:pStyle w:val="4"/>
        <w:keepNext w:val="0"/>
        <w:keepLines w:val="0"/>
        <w:widowControl/>
        <w:suppressLineNumbers w:val="0"/>
        <w:jc w:val="left"/>
        <w:rPr>
          <w:rFonts w:hint="eastAsia" w:ascii="宋体" w:hAnsi="宋体" w:eastAsia="宋体" w:cs="宋体"/>
        </w:rPr>
      </w:pPr>
    </w:p>
    <w:p w14:paraId="50C35241">
      <w:pPr>
        <w:pStyle w:val="4"/>
        <w:keepNext w:val="0"/>
        <w:keepLines w:val="0"/>
        <w:widowControl/>
        <w:suppressLineNumbers w:val="0"/>
        <w:jc w:val="left"/>
        <w:rPr>
          <w:rFonts w:hint="eastAsia" w:ascii="宋体" w:hAnsi="宋体" w:eastAsia="宋体" w:cs="宋体"/>
        </w:rPr>
      </w:pPr>
    </w:p>
    <w:p w14:paraId="3571C5FB">
      <w:pPr>
        <w:pStyle w:val="4"/>
        <w:keepNext w:val="0"/>
        <w:keepLines w:val="0"/>
        <w:widowControl/>
        <w:suppressLineNumbers w:val="0"/>
        <w:jc w:val="left"/>
        <w:rPr>
          <w:rFonts w:hint="eastAsia" w:ascii="宋体" w:hAnsi="宋体" w:eastAsia="宋体" w:cs="宋体"/>
        </w:rPr>
      </w:pPr>
    </w:p>
    <w:p w14:paraId="0F909730">
      <w:pPr>
        <w:pStyle w:val="4"/>
        <w:keepNext w:val="0"/>
        <w:keepLines w:val="0"/>
        <w:widowControl/>
        <w:suppressLineNumbers w:val="0"/>
        <w:jc w:val="left"/>
        <w:rPr>
          <w:rFonts w:hint="eastAsia" w:ascii="宋体" w:hAnsi="宋体" w:eastAsia="宋体" w:cs="宋体"/>
        </w:rPr>
      </w:pPr>
    </w:p>
    <w:p w14:paraId="5AE44BF8">
      <w:pPr>
        <w:pStyle w:val="4"/>
        <w:keepNext w:val="0"/>
        <w:keepLines w:val="0"/>
        <w:widowControl/>
        <w:suppressLineNumbers w:val="0"/>
        <w:jc w:val="left"/>
        <w:rPr>
          <w:rFonts w:hint="eastAsia" w:ascii="宋体" w:hAnsi="宋体" w:eastAsia="宋体" w:cs="宋体"/>
        </w:rPr>
      </w:pPr>
    </w:p>
    <w:p w14:paraId="1695BC6C">
      <w:pPr>
        <w:pStyle w:val="4"/>
        <w:keepNext w:val="0"/>
        <w:keepLines w:val="0"/>
        <w:widowControl/>
        <w:suppressLineNumbers w:val="0"/>
        <w:jc w:val="left"/>
        <w:rPr>
          <w:rFonts w:hint="eastAsia" w:ascii="宋体" w:hAnsi="宋体" w:eastAsia="宋体" w:cs="宋体"/>
        </w:rPr>
      </w:pPr>
    </w:p>
    <w:p w14:paraId="1543246B">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【NCR040】温湿度计校准失效</w:t>
      </w:r>
    </w:p>
    <w:p w14:paraId="2EA129B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：EPA区域在用温湿度计量器具校准过期、校准失效，无有效量值溯源，温湿度读数失真，无法真实监控车间环境静电管控条件。</w:t>
      </w:r>
    </w:p>
    <w:p w14:paraId="2C5827C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环境监测仪器校准溯源要求</w:t>
      </w:r>
    </w:p>
    <w:p w14:paraId="0DAD63C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环境监测设备量值管控规范</w:t>
      </w:r>
    </w:p>
    <w:p w14:paraId="24DF955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62D27C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：立即停用失效温湿度计，更换在校有效期内的合格设备，临时人工加密环境监测频次，保障环境可控。</w:t>
      </w:r>
    </w:p>
    <w:p w14:paraId="629912B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环境监测仪器未纳入校准台账管理，漏校、超期无人管控；2. 无校准到期预警机制，仪器超期失效长期未发现；3. 管理人员忽视温湿度仪器量值溯源的合规性要求。</w:t>
      </w:r>
    </w:p>
    <w:p w14:paraId="02D7DE3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将所有温湿度计纳入仪器校准统一台账，标注有效期、责任人；2. 建立校准到期提前预警机制，按期送检；3. 失效仪器禁止上岗使用，违规使用纳入稽查问责。</w:t>
      </w:r>
    </w:p>
    <w:p w14:paraId="1C1E123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：所有区域温湿度计全部在校合格，量值溯源有效，环境监测数据真实可靠。</w:t>
      </w:r>
    </w:p>
    <w:p w14:paraId="0BA5132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：严格执行校准预警、月度仪器状态排查，杜绝超期失效设备使用。</w:t>
      </w:r>
    </w:p>
    <w:p w14:paraId="77EBA6C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：环境监测仪器管控合规，体系闭环，可结案。</w:t>
      </w:r>
    </w:p>
    <w:p w14:paraId="0DCA93C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温湿度是ESD环境管控的核心指标，仪器校准失效会导致所有环境记录失真，出现“虚假达标”管控假象。干燥环境静电高发、湿度超标易吸潮氧化，数据失真会导致质量风险无法预判、异常无法追溯，属于体系合规性关键缺失。</w:t>
      </w:r>
    </w:p>
    <w:p w14:paraId="2408F6A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统一张贴校准有效期标签，实现目视化管控；2. 留存完整校准证书、溯源记录，电子化归档；3. 季度比对多台温湿度设备读数，确保数据精准。</w:t>
      </w:r>
    </w:p>
    <w:p w14:paraId="31637635">
      <w:pPr>
        <w:pStyle w:val="3"/>
        <w:keepNext w:val="0"/>
        <w:keepLines w:val="0"/>
        <w:widowControl/>
        <w:suppressLineNumbers w:val="0"/>
        <w:jc w:val="left"/>
        <w:rPr>
          <w:rFonts w:hint="eastAsia" w:ascii="宋体" w:hAnsi="宋体" w:eastAsia="宋体" w:cs="宋体"/>
        </w:rPr>
      </w:pPr>
    </w:p>
    <w:p w14:paraId="62A08A78">
      <w:pPr>
        <w:pStyle w:val="3"/>
        <w:keepNext w:val="0"/>
        <w:keepLines w:val="0"/>
        <w:widowControl/>
        <w:suppressLineNumbers w:val="0"/>
        <w:jc w:val="left"/>
        <w:rPr>
          <w:rFonts w:hint="eastAsia" w:ascii="宋体" w:hAnsi="宋体" w:eastAsia="宋体" w:cs="宋体"/>
        </w:rPr>
      </w:pPr>
    </w:p>
    <w:p w14:paraId="06C8741B">
      <w:pPr>
        <w:pStyle w:val="3"/>
        <w:keepNext w:val="0"/>
        <w:keepLines w:val="0"/>
        <w:widowControl/>
        <w:suppressLineNumbers w:val="0"/>
        <w:jc w:val="left"/>
        <w:rPr>
          <w:rFonts w:hint="eastAsia" w:ascii="宋体" w:hAnsi="宋体" w:eastAsia="宋体" w:cs="宋体"/>
        </w:rPr>
      </w:pPr>
    </w:p>
    <w:p w14:paraId="316EDCC0">
      <w:pPr>
        <w:pStyle w:val="3"/>
        <w:keepNext w:val="0"/>
        <w:keepLines w:val="0"/>
        <w:widowControl/>
        <w:suppressLineNumbers w:val="0"/>
        <w:jc w:val="left"/>
        <w:rPr>
          <w:rFonts w:hint="eastAsia" w:ascii="宋体" w:hAnsi="宋体" w:eastAsia="宋体" w:cs="宋体"/>
        </w:rPr>
      </w:pPr>
    </w:p>
    <w:p w14:paraId="2BB5DC8C">
      <w:pPr>
        <w:pStyle w:val="3"/>
        <w:keepNext w:val="0"/>
        <w:keepLines w:val="0"/>
        <w:widowControl/>
        <w:suppressLineNumbers w:val="0"/>
        <w:jc w:val="left"/>
        <w:rPr>
          <w:rFonts w:hint="eastAsia" w:ascii="宋体" w:hAnsi="宋体" w:eastAsia="宋体" w:cs="宋体"/>
        </w:rPr>
      </w:pPr>
    </w:p>
    <w:p w14:paraId="00EDAC96">
      <w:pPr>
        <w:pStyle w:val="3"/>
        <w:keepNext w:val="0"/>
        <w:keepLines w:val="0"/>
        <w:widowControl/>
        <w:suppressLineNumbers w:val="0"/>
        <w:jc w:val="left"/>
        <w:rPr>
          <w:rFonts w:hint="eastAsia" w:ascii="宋体" w:hAnsi="宋体" w:eastAsia="宋体" w:cs="宋体"/>
        </w:rPr>
      </w:pPr>
    </w:p>
    <w:p w14:paraId="0393E49E">
      <w:pPr>
        <w:pStyle w:val="3"/>
        <w:keepNext w:val="0"/>
        <w:keepLines w:val="0"/>
        <w:widowControl/>
        <w:suppressLineNumbers w:val="0"/>
        <w:jc w:val="left"/>
        <w:rPr>
          <w:rFonts w:hint="eastAsia" w:ascii="宋体" w:hAnsi="宋体" w:eastAsia="宋体" w:cs="宋体"/>
        </w:rPr>
      </w:pPr>
      <w:r>
        <w:rPr>
          <w:rFonts w:hint="eastAsia" w:ascii="宋体" w:hAnsi="宋体" w:eastAsia="宋体" w:cs="宋体"/>
        </w:rPr>
        <w:t>模块三 仪器设备校准管控类（NCR041–NCR055）</w:t>
      </w:r>
    </w:p>
    <w:p w14:paraId="2AF46B8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【NCR041】电阻测试仪超期</w:t>
      </w:r>
    </w:p>
    <w:p w14:paraId="75131BE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：车间ESD接地电阻、表面电阻测试仪超期未校准，无有效溯源证书，检测数据精度无法保障，所有接地、台面电阻检测结果存在失真风险。</w:t>
      </w:r>
    </w:p>
    <w:p w14:paraId="0E3AD0B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检测仪器周期性校准要求</w:t>
      </w:r>
    </w:p>
    <w:p w14:paraId="40808C5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静电检测设备量值溯源规范</w:t>
      </w:r>
    </w:p>
    <w:p w14:paraId="22721B7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900EEF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：立即停用超期仪器，启用备用在校合格测试仪开展检测工作，超期设备即刻送校，暂停该设备所有检测数据出具权限。</w:t>
      </w:r>
    </w:p>
    <w:p w14:paraId="71B74D6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仪器校准台账更新不及时，未精准统计到期设备；2. 无到期预警机制，导致漏校、超期使用；3. 设备管理员量值合规意识薄弱，重使用、轻校验。</w:t>
      </w:r>
    </w:p>
    <w:p w14:paraId="2C7E99A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完善仪器校准电子化台账，细化到期时间、责任人、校验周期；2. 建立15天到期预警、月度排查、季度复盘机制；3. 明确超期仪器禁止使用、数据无效的管控红线。</w:t>
      </w:r>
    </w:p>
    <w:p w14:paraId="2FBCC35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：设备已完成校准并取得有效证书，所有检测仪器均在校有效期内，数据精准可溯源。</w:t>
      </w:r>
    </w:p>
    <w:p w14:paraId="6FA82B1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：常态化落实预警排查，杜绝超期、漏校问题。</w:t>
      </w:r>
    </w:p>
    <w:p w14:paraId="6293EC6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：仪器校准管控合规，闭环达标，可结案。</w:t>
      </w:r>
    </w:p>
    <w:p w14:paraId="68895F9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：电阻测试仪是ESD体系验收、隐患排查的核心计量设备，仪器超期等同于所有ESD检测数据失效，现场接地、台面、设备电阻是否合规完全无法判定，极易出现隐患漏判、虚假整改，属于体系审厂必判不合格项。</w:t>
      </w:r>
    </w:p>
    <w:p w14:paraId="09775A8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区分检测仪器、生产设备分类建档，专项管控计量器具；2. 每季度对检测数据进行复盘比对，验证仪器稳定性；3. 校准证书统一归档至体系审核资料库。</w:t>
      </w:r>
    </w:p>
    <w:p w14:paraId="473CA4F7">
      <w:pPr>
        <w:pStyle w:val="4"/>
        <w:keepNext w:val="0"/>
        <w:keepLines w:val="0"/>
        <w:widowControl/>
        <w:suppressLineNumbers w:val="0"/>
        <w:jc w:val="left"/>
        <w:rPr>
          <w:rFonts w:hint="eastAsia" w:ascii="宋体" w:hAnsi="宋体" w:eastAsia="宋体" w:cs="宋体"/>
        </w:rPr>
      </w:pPr>
    </w:p>
    <w:p w14:paraId="3D62C41B">
      <w:pPr>
        <w:pStyle w:val="4"/>
        <w:keepNext w:val="0"/>
        <w:keepLines w:val="0"/>
        <w:widowControl/>
        <w:suppressLineNumbers w:val="0"/>
        <w:jc w:val="left"/>
        <w:rPr>
          <w:rFonts w:hint="eastAsia" w:ascii="宋体" w:hAnsi="宋体" w:eastAsia="宋体" w:cs="宋体"/>
        </w:rPr>
      </w:pPr>
    </w:p>
    <w:p w14:paraId="1CA0FF02">
      <w:pPr>
        <w:pStyle w:val="4"/>
        <w:keepNext w:val="0"/>
        <w:keepLines w:val="0"/>
        <w:widowControl/>
        <w:suppressLineNumbers w:val="0"/>
        <w:jc w:val="left"/>
        <w:rPr>
          <w:rFonts w:hint="eastAsia" w:ascii="宋体" w:hAnsi="宋体" w:eastAsia="宋体" w:cs="宋体"/>
        </w:rPr>
      </w:pPr>
    </w:p>
    <w:p w14:paraId="281BA9B9">
      <w:pPr>
        <w:pStyle w:val="4"/>
        <w:keepNext w:val="0"/>
        <w:keepLines w:val="0"/>
        <w:widowControl/>
        <w:suppressLineNumbers w:val="0"/>
        <w:jc w:val="left"/>
        <w:rPr>
          <w:rFonts w:hint="eastAsia" w:ascii="宋体" w:hAnsi="宋体" w:eastAsia="宋体" w:cs="宋体"/>
        </w:rPr>
      </w:pPr>
    </w:p>
    <w:p w14:paraId="1D342CB2">
      <w:pPr>
        <w:pStyle w:val="4"/>
        <w:keepNext w:val="0"/>
        <w:keepLines w:val="0"/>
        <w:widowControl/>
        <w:suppressLineNumbers w:val="0"/>
        <w:jc w:val="left"/>
        <w:rPr>
          <w:rFonts w:hint="eastAsia" w:ascii="宋体" w:hAnsi="宋体" w:eastAsia="宋体" w:cs="宋体"/>
        </w:rPr>
      </w:pPr>
    </w:p>
    <w:p w14:paraId="1F9B03F4">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【NCR042】静电测试仪探头磨损</w:t>
      </w:r>
    </w:p>
    <w:p w14:paraId="168F85A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：静电电压测试仪探头长期使用磨损、接触面氧化，探头感应精度下降，测试数据偏差大，无法真实反映现场静电电压状态。</w:t>
      </w:r>
    </w:p>
    <w:p w14:paraId="0AEF7A3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4.4 检测设备完好性管控要求</w:t>
      </w:r>
    </w:p>
    <w:p w14:paraId="25DBB6F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4.4 静电检测设备部件运维规范</w:t>
      </w:r>
    </w:p>
    <w:p w14:paraId="129BFA7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520208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：立即停用磨损探头，更换全新合规探头，设备复测校准合格后重新投入使用，临时加大仪器比对频次。</w:t>
      </w:r>
    </w:p>
    <w:p w14:paraId="249B50A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探头频繁接触台面、硬物摩擦导致磨损氧化；2. 无探头日常点检、保养、更换机制；3. 操作人员使用不规范，粗暴操作加速部件损耗。</w:t>
      </w:r>
    </w:p>
    <w:p w14:paraId="6A87728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制定测试仪使用、收纳、保养规范，禁止硬物磕碰摩擦；2. 新增探头月度外观检查、精度比对项目，磨损即时更换；3. 储备备用探头，保障设备随时合规可用。</w:t>
      </w:r>
    </w:p>
    <w:p w14:paraId="0292D60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：测试仪探头完好精准，设备测试数据稳定、偏差合格，满足现场检测需求。</w:t>
      </w:r>
    </w:p>
    <w:p w14:paraId="639CB55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：规范设备操作收纳，常态化点检探头状态，定期精度比对。</w:t>
      </w:r>
    </w:p>
    <w:p w14:paraId="5D44FED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：设备运维管控闭环，隐患清零，可结案。</w:t>
      </w:r>
    </w:p>
    <w:p w14:paraId="475E044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：测试探头是仪器感应采集核心部件，磨损氧化会直接导致采样失真、数据偏低或波动，现场超标静电无法被检出，形成检测盲区。看似设备在校，实则检测失效，隐患长期留存。</w:t>
      </w:r>
    </w:p>
    <w:p w14:paraId="782DFE7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设备使用完毕立即收纳保护，避免裸露磨损；2. 建立探头损耗更换台账，按使用周期预判更换；3. 定期用标准电压源校验设备精度。</w:t>
      </w:r>
    </w:p>
    <w:p w14:paraId="305F97D8">
      <w:pPr>
        <w:pStyle w:val="4"/>
        <w:keepNext w:val="0"/>
        <w:keepLines w:val="0"/>
        <w:widowControl/>
        <w:suppressLineNumbers w:val="0"/>
        <w:jc w:val="left"/>
        <w:rPr>
          <w:rFonts w:hint="eastAsia" w:ascii="宋体" w:hAnsi="宋体" w:eastAsia="宋体" w:cs="宋体"/>
        </w:rPr>
      </w:pPr>
    </w:p>
    <w:p w14:paraId="26E91EAA">
      <w:pPr>
        <w:pStyle w:val="4"/>
        <w:keepNext w:val="0"/>
        <w:keepLines w:val="0"/>
        <w:widowControl/>
        <w:suppressLineNumbers w:val="0"/>
        <w:jc w:val="left"/>
        <w:rPr>
          <w:rFonts w:hint="eastAsia" w:ascii="宋体" w:hAnsi="宋体" w:eastAsia="宋体" w:cs="宋体"/>
        </w:rPr>
      </w:pPr>
    </w:p>
    <w:p w14:paraId="338D39DA">
      <w:pPr>
        <w:pStyle w:val="4"/>
        <w:keepNext w:val="0"/>
        <w:keepLines w:val="0"/>
        <w:widowControl/>
        <w:suppressLineNumbers w:val="0"/>
        <w:jc w:val="left"/>
        <w:rPr>
          <w:rFonts w:hint="eastAsia" w:ascii="宋体" w:hAnsi="宋体" w:eastAsia="宋体" w:cs="宋体"/>
        </w:rPr>
      </w:pPr>
    </w:p>
    <w:p w14:paraId="1C2C59B9">
      <w:pPr>
        <w:pStyle w:val="4"/>
        <w:keepNext w:val="0"/>
        <w:keepLines w:val="0"/>
        <w:widowControl/>
        <w:suppressLineNumbers w:val="0"/>
        <w:jc w:val="left"/>
        <w:rPr>
          <w:rFonts w:hint="eastAsia" w:ascii="宋体" w:hAnsi="宋体" w:eastAsia="宋体" w:cs="宋体"/>
        </w:rPr>
      </w:pPr>
    </w:p>
    <w:p w14:paraId="4A29A3C6">
      <w:pPr>
        <w:pStyle w:val="4"/>
        <w:keepNext w:val="0"/>
        <w:keepLines w:val="0"/>
        <w:widowControl/>
        <w:suppressLineNumbers w:val="0"/>
        <w:jc w:val="left"/>
        <w:rPr>
          <w:rFonts w:hint="eastAsia" w:ascii="宋体" w:hAnsi="宋体" w:eastAsia="宋体" w:cs="宋体"/>
        </w:rPr>
      </w:pPr>
    </w:p>
    <w:p w14:paraId="35332C86">
      <w:pPr>
        <w:pStyle w:val="4"/>
        <w:keepNext w:val="0"/>
        <w:keepLines w:val="0"/>
        <w:widowControl/>
        <w:suppressLineNumbers w:val="0"/>
        <w:jc w:val="left"/>
        <w:rPr>
          <w:rFonts w:hint="eastAsia" w:ascii="宋体" w:hAnsi="宋体" w:eastAsia="宋体" w:cs="宋体"/>
        </w:rPr>
      </w:pPr>
    </w:p>
    <w:p w14:paraId="11AB7BF5">
      <w:pPr>
        <w:pStyle w:val="4"/>
        <w:keepNext w:val="0"/>
        <w:keepLines w:val="0"/>
        <w:widowControl/>
        <w:suppressLineNumbers w:val="0"/>
        <w:jc w:val="left"/>
        <w:rPr>
          <w:rFonts w:hint="eastAsia" w:ascii="宋体" w:hAnsi="宋体" w:eastAsia="宋体" w:cs="宋体"/>
        </w:rPr>
      </w:pPr>
    </w:p>
    <w:p w14:paraId="7591A476">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【NCR043】离子平衡记录无数据</w:t>
      </w:r>
    </w:p>
    <w:p w14:paraId="07A9E09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：车间离子风机日常点检、月度校验无离子平衡检测数据，记录空白缺失，无法验证离子风机正负离子平衡性能，设备除静电有效性不可追溯。</w:t>
      </w:r>
    </w:p>
    <w:p w14:paraId="2A04F71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5.3 离子发生设备性能记录要求</w:t>
      </w:r>
    </w:p>
    <w:p w14:paraId="73949C9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5.3 离子平衡参数监测记录规范</w:t>
      </w:r>
    </w:p>
    <w:p w14:paraId="67983DD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4175FF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：立即对所有离子风机开展全覆盖离子平衡检测，补全阶段性关键数据，对失衡超标设备立即停机整改。</w:t>
      </w:r>
    </w:p>
    <w:p w14:paraId="61D4F0E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点检表单未设置离子平衡数据栏，记录项目缺失；2. 作业人员不清楚离子平衡检测必要性，未落实检测记录；3. 管理人员未核查记录完整性，过程管控缺失。</w:t>
      </w:r>
    </w:p>
    <w:p w14:paraId="01E60A3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改版离子风机点检表，强制增加离子平衡、除静电效率核心参数；2. 固化每日点检、每月仪器校验、数据留存签字制度；3. 空白、虚假记录纳入稽核问责。</w:t>
      </w:r>
    </w:p>
    <w:p w14:paraId="716455C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：所有离子风机离子平衡参数全部达标，检测记录完整、真实、可追溯。</w:t>
      </w:r>
    </w:p>
    <w:p w14:paraId="1181C3B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：严格落实数据记录审核机制，杜绝无数据、漏数据、假数据。</w:t>
      </w:r>
    </w:p>
    <w:p w14:paraId="237DC62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：离子设备过程管控闭环，体系合规，可结案。</w:t>
      </w:r>
    </w:p>
    <w:p w14:paraId="2097751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：离子平衡失效是离子风机最常见隐性故障，正负离子失衡不仅无法除静电，还会反向输出静电击穿元器件。无数据记录意味着设备性能完全不可控、不可追溯，属于典型的过程管控失效，审厂高频不合格项。</w:t>
      </w:r>
    </w:p>
    <w:p w14:paraId="7986713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离子平衡数据单独建档，异常数据立即分析整改；2. 每季度开展离子风机专项性能校验；3. 对操作人员开展离子平衡参数专项培训。</w:t>
      </w:r>
    </w:p>
    <w:p w14:paraId="1934EAA8">
      <w:pPr>
        <w:pStyle w:val="4"/>
        <w:keepNext w:val="0"/>
        <w:keepLines w:val="0"/>
        <w:widowControl/>
        <w:suppressLineNumbers w:val="0"/>
        <w:jc w:val="left"/>
        <w:rPr>
          <w:rFonts w:hint="eastAsia" w:ascii="宋体" w:hAnsi="宋体" w:eastAsia="宋体" w:cs="宋体"/>
        </w:rPr>
      </w:pPr>
    </w:p>
    <w:p w14:paraId="3084CA5B">
      <w:pPr>
        <w:pStyle w:val="4"/>
        <w:keepNext w:val="0"/>
        <w:keepLines w:val="0"/>
        <w:widowControl/>
        <w:suppressLineNumbers w:val="0"/>
        <w:jc w:val="left"/>
        <w:rPr>
          <w:rFonts w:hint="eastAsia" w:ascii="宋体" w:hAnsi="宋体" w:eastAsia="宋体" w:cs="宋体"/>
        </w:rPr>
      </w:pPr>
    </w:p>
    <w:p w14:paraId="21936509">
      <w:pPr>
        <w:pStyle w:val="4"/>
        <w:keepNext w:val="0"/>
        <w:keepLines w:val="0"/>
        <w:widowControl/>
        <w:suppressLineNumbers w:val="0"/>
        <w:jc w:val="left"/>
        <w:rPr>
          <w:rFonts w:hint="eastAsia" w:ascii="宋体" w:hAnsi="宋体" w:eastAsia="宋体" w:cs="宋体"/>
        </w:rPr>
      </w:pPr>
    </w:p>
    <w:p w14:paraId="7E49D29E">
      <w:pPr>
        <w:pStyle w:val="4"/>
        <w:keepNext w:val="0"/>
        <w:keepLines w:val="0"/>
        <w:widowControl/>
        <w:suppressLineNumbers w:val="0"/>
        <w:jc w:val="left"/>
        <w:rPr>
          <w:rFonts w:hint="eastAsia" w:ascii="宋体" w:hAnsi="宋体" w:eastAsia="宋体" w:cs="宋体"/>
        </w:rPr>
      </w:pPr>
    </w:p>
    <w:p w14:paraId="29A5332A">
      <w:pPr>
        <w:pStyle w:val="4"/>
        <w:keepNext w:val="0"/>
        <w:keepLines w:val="0"/>
        <w:widowControl/>
        <w:suppressLineNumbers w:val="0"/>
        <w:jc w:val="left"/>
        <w:rPr>
          <w:rFonts w:hint="eastAsia" w:ascii="宋体" w:hAnsi="宋体" w:eastAsia="宋体" w:cs="宋体"/>
        </w:rPr>
      </w:pPr>
    </w:p>
    <w:p w14:paraId="3AD8FD5A">
      <w:pPr>
        <w:pStyle w:val="4"/>
        <w:keepNext w:val="0"/>
        <w:keepLines w:val="0"/>
        <w:widowControl/>
        <w:suppressLineNumbers w:val="0"/>
        <w:jc w:val="left"/>
        <w:rPr>
          <w:rFonts w:hint="eastAsia" w:ascii="宋体" w:hAnsi="宋体" w:eastAsia="宋体" w:cs="宋体"/>
        </w:rPr>
      </w:pPr>
    </w:p>
    <w:p w14:paraId="3847F6E6">
      <w:pPr>
        <w:pStyle w:val="4"/>
        <w:keepNext w:val="0"/>
        <w:keepLines w:val="0"/>
        <w:widowControl/>
        <w:suppressLineNumbers w:val="0"/>
        <w:jc w:val="left"/>
        <w:rPr>
          <w:rFonts w:hint="eastAsia" w:ascii="宋体" w:hAnsi="宋体" w:eastAsia="宋体" w:cs="宋体"/>
        </w:rPr>
      </w:pPr>
    </w:p>
    <w:p w14:paraId="5A29EF09">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【NCR044】精密设备无屏蔽防护</w:t>
      </w:r>
    </w:p>
    <w:p w14:paraId="29ED261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：高精度测试设备、精密制程设备未配置静电、电磁屏蔽防护装置，设备机芯裸露，易受环境静电、电磁干扰，造成设备精度漂移、产品损伤。</w:t>
      </w:r>
    </w:p>
    <w:p w14:paraId="0485142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精密设备静电屏蔽防护要求</w:t>
      </w:r>
    </w:p>
    <w:p w14:paraId="4992E43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精密仪器静电屏蔽防护规范</w:t>
      </w:r>
    </w:p>
    <w:p w14:paraId="2A23F0D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3AC86BD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：临时采用合规屏蔽罩对精密设备进行遮挡防护，减少环境干扰，加密设备精度复测频次，保障生产稳定。</w:t>
      </w:r>
    </w:p>
    <w:p w14:paraId="012BA9B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设备采购、安装阶段未配套屏蔽防护设施；2. 设备风险评估缺失静电屏蔽风险识别；3. 日常设备管控仅关注通电运行，忽略防护配置。</w:t>
      </w:r>
    </w:p>
    <w:p w14:paraId="0B1045A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为所有精密设备定制安装专用静电屏蔽防护装置；2. 新增设备入场验收必须核查屏蔽防护配置完整性；3. 将屏蔽防护完好性纳入设备日常点检。</w:t>
      </w:r>
    </w:p>
    <w:p w14:paraId="0DF9C5A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：所有精密设备均配置有效屏蔽防护，抗干扰能力达标，设备运行精度稳定。</w:t>
      </w:r>
    </w:p>
    <w:p w14:paraId="7476EC6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：新增设备同步配套屏蔽防护，定期核查防护装置完好性。</w:t>
      </w:r>
    </w:p>
    <w:p w14:paraId="2C875D3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：精密设备防护管控完善，风险闭环，可结案。</w:t>
      </w:r>
    </w:p>
    <w:p w14:paraId="0C23243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：精密设备内部芯片、传感元件耐压极低，环境静电、电磁干扰会持续造成设备零点漂移、测试偏差，引发批量误判与产品隐性失效。无屏蔽防护属于设备硬件配置缺失，是系统性防护短板。</w:t>
      </w:r>
    </w:p>
    <w:p w14:paraId="4A4DE6B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关键设备采用双层屏蔽防护，强化抗干扰能力；2. 定期清洁屏蔽装置，保证防护效能；3. 设备移位、维保后同步验收屏蔽防护。</w:t>
      </w:r>
    </w:p>
    <w:p w14:paraId="47754152">
      <w:pPr>
        <w:pStyle w:val="4"/>
        <w:keepNext w:val="0"/>
        <w:keepLines w:val="0"/>
        <w:widowControl/>
        <w:suppressLineNumbers w:val="0"/>
        <w:jc w:val="left"/>
        <w:rPr>
          <w:rFonts w:hint="eastAsia" w:ascii="宋体" w:hAnsi="宋体" w:eastAsia="宋体" w:cs="宋体"/>
        </w:rPr>
      </w:pPr>
    </w:p>
    <w:p w14:paraId="2227299D">
      <w:pPr>
        <w:pStyle w:val="4"/>
        <w:keepNext w:val="0"/>
        <w:keepLines w:val="0"/>
        <w:widowControl/>
        <w:suppressLineNumbers w:val="0"/>
        <w:jc w:val="left"/>
        <w:rPr>
          <w:rFonts w:hint="eastAsia" w:ascii="宋体" w:hAnsi="宋体" w:eastAsia="宋体" w:cs="宋体"/>
        </w:rPr>
      </w:pPr>
    </w:p>
    <w:p w14:paraId="7AB8C11D">
      <w:pPr>
        <w:pStyle w:val="4"/>
        <w:keepNext w:val="0"/>
        <w:keepLines w:val="0"/>
        <w:widowControl/>
        <w:suppressLineNumbers w:val="0"/>
        <w:jc w:val="left"/>
        <w:rPr>
          <w:rFonts w:hint="eastAsia" w:ascii="宋体" w:hAnsi="宋体" w:eastAsia="宋体" w:cs="宋体"/>
        </w:rPr>
      </w:pPr>
    </w:p>
    <w:p w14:paraId="69C9EE9E">
      <w:pPr>
        <w:pStyle w:val="4"/>
        <w:keepNext w:val="0"/>
        <w:keepLines w:val="0"/>
        <w:widowControl/>
        <w:suppressLineNumbers w:val="0"/>
        <w:jc w:val="left"/>
        <w:rPr>
          <w:rFonts w:hint="eastAsia" w:ascii="宋体" w:hAnsi="宋体" w:eastAsia="宋体" w:cs="宋体"/>
        </w:rPr>
      </w:pPr>
    </w:p>
    <w:p w14:paraId="6CF27CA3">
      <w:pPr>
        <w:pStyle w:val="4"/>
        <w:keepNext w:val="0"/>
        <w:keepLines w:val="0"/>
        <w:widowControl/>
        <w:suppressLineNumbers w:val="0"/>
        <w:jc w:val="left"/>
        <w:rPr>
          <w:rFonts w:hint="eastAsia" w:ascii="宋体" w:hAnsi="宋体" w:eastAsia="宋体" w:cs="宋体"/>
        </w:rPr>
      </w:pPr>
    </w:p>
    <w:p w14:paraId="0025D9A4">
      <w:pPr>
        <w:pStyle w:val="4"/>
        <w:keepNext w:val="0"/>
        <w:keepLines w:val="0"/>
        <w:widowControl/>
        <w:suppressLineNumbers w:val="0"/>
        <w:jc w:val="left"/>
        <w:rPr>
          <w:rFonts w:hint="eastAsia" w:ascii="宋体" w:hAnsi="宋体" w:eastAsia="宋体" w:cs="宋体"/>
        </w:rPr>
      </w:pPr>
    </w:p>
    <w:p w14:paraId="327CD24F">
      <w:pPr>
        <w:pStyle w:val="4"/>
        <w:keepNext w:val="0"/>
        <w:keepLines w:val="0"/>
        <w:widowControl/>
        <w:suppressLineNumbers w:val="0"/>
        <w:jc w:val="left"/>
        <w:rPr>
          <w:rFonts w:hint="eastAsia" w:ascii="宋体" w:hAnsi="宋体" w:eastAsia="宋体" w:cs="宋体"/>
        </w:rPr>
      </w:pPr>
    </w:p>
    <w:p w14:paraId="603A0AC7">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【NCR045】测试线绝缘破损</w:t>
      </w:r>
    </w:p>
    <w:p w14:paraId="2D241B5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：多组仪器测试线缆外皮绝缘层破损、开裂，内部屏蔽线裸露，易造成接地短路、信号干扰、漏电静电，威胁产品与设备安全。</w:t>
      </w:r>
    </w:p>
    <w:p w14:paraId="3D15B1E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测试线缆绝缘完好性要求</w:t>
      </w:r>
    </w:p>
    <w:p w14:paraId="30D6A17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测试线路绝缘防护规范</w:t>
      </w:r>
    </w:p>
    <w:p w14:paraId="66E6EB9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BDFC2F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：立即停用所有绝缘破损测试线，临时更换完好线缆，破损线缆隔离存放禁止复用，保障测试回路安全。</w:t>
      </w:r>
    </w:p>
    <w:p w14:paraId="4E48514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线缆长期弯折、拉扯、碾压导致绝缘层老化破损；2. 无线缆收纳、防护规范，野蛮操作加速损耗；3. 日常点检未覆盖测试线缆绝缘状态。</w:t>
      </w:r>
    </w:p>
    <w:p w14:paraId="066CD33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全域更换破损、老化测试线缆，统一标准化配线；2. 制定测试线缆使用、收纳、防护规范，杜绝暴力弯折；3. 将线缆绝缘完好性、导通状态纳入每日设备点检。</w:t>
      </w:r>
    </w:p>
    <w:p w14:paraId="1CE1ADC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：所有测试线缆绝缘完好、无破损裸露，测试回路稳定安全，无短路、干扰风险。</w:t>
      </w:r>
    </w:p>
    <w:p w14:paraId="0D45977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：规范线缆使用收纳，常态化点检，老化破损即时更换。</w:t>
      </w:r>
    </w:p>
    <w:p w14:paraId="6653601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：测试线路管控合规，隐患清零，可结案。</w:t>
      </w:r>
    </w:p>
    <w:p w14:paraId="545C4DD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：测试线直接对接精密产品与测试主机，绝缘破损会导致屏蔽失效、电位异常、信号干扰，不仅影响测试精度，裸露金属部位还会直接对产品放电，造成批量击穿不良，属于高风险设备细节隐患。</w:t>
      </w:r>
    </w:p>
    <w:p w14:paraId="5730252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高频弯折部位加装防护套管，延长线缆使用寿命；2. 线缆定点收纳、贴标管理，责任到人；3. 建立线缆耗材更换台账，定期批量更新。</w:t>
      </w:r>
    </w:p>
    <w:p w14:paraId="79C82BF9">
      <w:pPr>
        <w:pStyle w:val="4"/>
        <w:keepNext w:val="0"/>
        <w:keepLines w:val="0"/>
        <w:widowControl/>
        <w:suppressLineNumbers w:val="0"/>
        <w:jc w:val="left"/>
        <w:rPr>
          <w:rFonts w:hint="eastAsia" w:ascii="宋体" w:hAnsi="宋体" w:eastAsia="宋体" w:cs="宋体"/>
        </w:rPr>
      </w:pPr>
    </w:p>
    <w:p w14:paraId="11065D6F">
      <w:pPr>
        <w:pStyle w:val="4"/>
        <w:keepNext w:val="0"/>
        <w:keepLines w:val="0"/>
        <w:widowControl/>
        <w:suppressLineNumbers w:val="0"/>
        <w:jc w:val="left"/>
        <w:rPr>
          <w:rFonts w:hint="eastAsia" w:ascii="宋体" w:hAnsi="宋体" w:eastAsia="宋体" w:cs="宋体"/>
        </w:rPr>
      </w:pPr>
    </w:p>
    <w:p w14:paraId="04CFCF38">
      <w:pPr>
        <w:pStyle w:val="4"/>
        <w:keepNext w:val="0"/>
        <w:keepLines w:val="0"/>
        <w:widowControl/>
        <w:suppressLineNumbers w:val="0"/>
        <w:jc w:val="left"/>
        <w:rPr>
          <w:rFonts w:hint="eastAsia" w:ascii="宋体" w:hAnsi="宋体" w:eastAsia="宋体" w:cs="宋体"/>
        </w:rPr>
      </w:pPr>
    </w:p>
    <w:p w14:paraId="2220A9FD">
      <w:pPr>
        <w:pStyle w:val="4"/>
        <w:keepNext w:val="0"/>
        <w:keepLines w:val="0"/>
        <w:widowControl/>
        <w:suppressLineNumbers w:val="0"/>
        <w:jc w:val="left"/>
        <w:rPr>
          <w:rFonts w:hint="eastAsia" w:ascii="宋体" w:hAnsi="宋体" w:eastAsia="宋体" w:cs="宋体"/>
        </w:rPr>
      </w:pPr>
    </w:p>
    <w:p w14:paraId="65F99ADA">
      <w:pPr>
        <w:pStyle w:val="4"/>
        <w:keepNext w:val="0"/>
        <w:keepLines w:val="0"/>
        <w:widowControl/>
        <w:suppressLineNumbers w:val="0"/>
        <w:jc w:val="left"/>
        <w:rPr>
          <w:rFonts w:hint="eastAsia" w:ascii="宋体" w:hAnsi="宋体" w:eastAsia="宋体" w:cs="宋体"/>
        </w:rPr>
      </w:pPr>
    </w:p>
    <w:p w14:paraId="15A97156">
      <w:pPr>
        <w:pStyle w:val="4"/>
        <w:keepNext w:val="0"/>
        <w:keepLines w:val="0"/>
        <w:widowControl/>
        <w:suppressLineNumbers w:val="0"/>
        <w:jc w:val="left"/>
        <w:rPr>
          <w:rFonts w:hint="eastAsia" w:ascii="宋体" w:hAnsi="宋体" w:eastAsia="宋体" w:cs="宋体"/>
        </w:rPr>
      </w:pPr>
    </w:p>
    <w:p w14:paraId="55FB7AF1">
      <w:pPr>
        <w:pStyle w:val="4"/>
        <w:keepNext w:val="0"/>
        <w:keepLines w:val="0"/>
        <w:widowControl/>
        <w:suppressLineNumbers w:val="0"/>
        <w:jc w:val="left"/>
        <w:rPr>
          <w:rFonts w:hint="eastAsia" w:ascii="宋体" w:hAnsi="宋体" w:eastAsia="宋体" w:cs="宋体"/>
        </w:rPr>
      </w:pPr>
    </w:p>
    <w:p w14:paraId="1832484C">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【NCR046】工装无ESD台账</w:t>
      </w:r>
    </w:p>
    <w:p w14:paraId="7E5FEBF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：车间测试工装、治具、辅助夹具无独立ESD管控台账，工装数量、状态、检测记录、维保记录无统一归档，工装ESD管控完全无追溯。</w:t>
      </w:r>
    </w:p>
    <w:p w14:paraId="5FD558C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4.2 防静电工装台账管控要求</w:t>
      </w:r>
    </w:p>
    <w:p w14:paraId="14371E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4.2 防静电工装全生命周期台账规范</w:t>
      </w:r>
    </w:p>
    <w:p w14:paraId="5857066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27952B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：立即梳理全车间所有工装治具，统计数量、状态、使用工位，临时建立基础台账，落实基础管控。</w:t>
      </w:r>
    </w:p>
    <w:p w14:paraId="17BAEAD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体系文件缺失工装ESD台账管控要求，流程空白；2. 管理人员重设备、轻工装，忽视治具ESD管控；3. 无工装定期盘点、状态核查机制。</w:t>
      </w:r>
    </w:p>
    <w:p w14:paraId="5CE043B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建立完整ESD工装台账，包含编号、状态、工位、检测、维保、责任人；2. 落实月度工装盘点、季度性能检测；3. 新增工装必须同步录入台账，实现全生命周期管控。</w:t>
      </w:r>
    </w:p>
    <w:p w14:paraId="18AD7EE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：工装ESD台账完整、准确、全覆盖，所有治具状态可查、可管、可追溯。</w:t>
      </w:r>
    </w:p>
    <w:p w14:paraId="398D0A5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：常态化月度盘点、动态更新台账，杜绝账物不符、台账缺失。</w:t>
      </w:r>
    </w:p>
    <w:p w14:paraId="4C1EE3F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：工装台账体系搭建完成，管控闭环，可结案。</w:t>
      </w:r>
    </w:p>
    <w:p w14:paraId="3062B69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：工装治具是直接接触产品的核心载体，无台账意味着工装ESD性能、维保、检测完全失控，不良工装持续上机作业，是隐性不良频发的核心根源，属于体系基础管控缺失。</w:t>
      </w:r>
    </w:p>
    <w:p w14:paraId="060B1DD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工装统一编号、贴标，账、物、位一一对应；2. 台账电子化管理，动态更新、异常预警；3. 工装报废、新增、移位全程留痕记录。</w:t>
      </w:r>
    </w:p>
    <w:p w14:paraId="2ECE62BE">
      <w:pPr>
        <w:pStyle w:val="4"/>
        <w:keepNext w:val="0"/>
        <w:keepLines w:val="0"/>
        <w:widowControl/>
        <w:suppressLineNumbers w:val="0"/>
        <w:jc w:val="left"/>
        <w:rPr>
          <w:rFonts w:hint="eastAsia" w:ascii="宋体" w:hAnsi="宋体" w:eastAsia="宋体" w:cs="宋体"/>
        </w:rPr>
      </w:pPr>
    </w:p>
    <w:p w14:paraId="46964A1A">
      <w:pPr>
        <w:pStyle w:val="4"/>
        <w:keepNext w:val="0"/>
        <w:keepLines w:val="0"/>
        <w:widowControl/>
        <w:suppressLineNumbers w:val="0"/>
        <w:jc w:val="left"/>
        <w:rPr>
          <w:rFonts w:hint="eastAsia" w:ascii="宋体" w:hAnsi="宋体" w:eastAsia="宋体" w:cs="宋体"/>
        </w:rPr>
      </w:pPr>
    </w:p>
    <w:p w14:paraId="61F3EC75">
      <w:pPr>
        <w:pStyle w:val="4"/>
        <w:keepNext w:val="0"/>
        <w:keepLines w:val="0"/>
        <w:widowControl/>
        <w:suppressLineNumbers w:val="0"/>
        <w:jc w:val="left"/>
        <w:rPr>
          <w:rFonts w:hint="eastAsia" w:ascii="宋体" w:hAnsi="宋体" w:eastAsia="宋体" w:cs="宋体"/>
        </w:rPr>
      </w:pPr>
    </w:p>
    <w:p w14:paraId="32DF9AC1">
      <w:pPr>
        <w:pStyle w:val="4"/>
        <w:keepNext w:val="0"/>
        <w:keepLines w:val="0"/>
        <w:widowControl/>
        <w:suppressLineNumbers w:val="0"/>
        <w:jc w:val="left"/>
        <w:rPr>
          <w:rFonts w:hint="eastAsia" w:ascii="宋体" w:hAnsi="宋体" w:eastAsia="宋体" w:cs="宋体"/>
        </w:rPr>
      </w:pPr>
    </w:p>
    <w:p w14:paraId="08D14B52">
      <w:pPr>
        <w:pStyle w:val="4"/>
        <w:keepNext w:val="0"/>
        <w:keepLines w:val="0"/>
        <w:widowControl/>
        <w:suppressLineNumbers w:val="0"/>
        <w:jc w:val="left"/>
        <w:rPr>
          <w:rFonts w:hint="eastAsia" w:ascii="宋体" w:hAnsi="宋体" w:eastAsia="宋体" w:cs="宋体"/>
        </w:rPr>
      </w:pPr>
    </w:p>
    <w:p w14:paraId="1C814DDE">
      <w:pPr>
        <w:pStyle w:val="4"/>
        <w:keepNext w:val="0"/>
        <w:keepLines w:val="0"/>
        <w:widowControl/>
        <w:suppressLineNumbers w:val="0"/>
        <w:jc w:val="left"/>
        <w:rPr>
          <w:rFonts w:hint="eastAsia" w:ascii="宋体" w:hAnsi="宋体" w:eastAsia="宋体" w:cs="宋体"/>
        </w:rPr>
      </w:pPr>
    </w:p>
    <w:p w14:paraId="0A70DCA6">
      <w:pPr>
        <w:pStyle w:val="4"/>
        <w:keepNext w:val="0"/>
        <w:keepLines w:val="0"/>
        <w:widowControl/>
        <w:suppressLineNumbers w:val="0"/>
        <w:jc w:val="left"/>
        <w:rPr>
          <w:rFonts w:hint="eastAsia" w:ascii="宋体" w:hAnsi="宋体" w:eastAsia="宋体" w:cs="宋体"/>
        </w:rPr>
      </w:pPr>
    </w:p>
    <w:p w14:paraId="3A9EEF44">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【NCR047】测试仪无期间核查</w:t>
      </w:r>
    </w:p>
    <w:p w14:paraId="05D9FEE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：车间在用静电、电阻测试仪仅年度送检校准，无日常期间核查、精度比对机制，仪器在校期间性能漂移、偏差无法及时发现。</w:t>
      </w:r>
    </w:p>
    <w:p w14:paraId="44CFE2A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仪器期间核查与稳定性验证要求</w:t>
      </w:r>
    </w:p>
    <w:p w14:paraId="5CC147F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计量设备期间核查管控规范</w:t>
      </w:r>
    </w:p>
    <w:p w14:paraId="1129F74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CB1062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：立即对所有测试仪开展全面期间核查、精度比对，偏差超标设备立即停用复检，补全核查记录。</w:t>
      </w:r>
    </w:p>
    <w:p w14:paraId="1FC69FB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体系无仪器期间核查制度，管控流程缺失；2. 管理人员仅重视年度外校，忽略期间稳定性管控；3. 无核查频次、核查标准、记录表单。</w:t>
      </w:r>
    </w:p>
    <w:p w14:paraId="4A58860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新增仪器期间核查SOP，明确季度核查、精度比对要求；2. 制定期间核查记录表，留存完整比对数据；3. 核查异常设备立即停用、复检、整改，闭环管理。</w:t>
      </w:r>
    </w:p>
    <w:p w14:paraId="2F39D68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：所有仪器期间核查合格，精度稳定，核查记录完整可追溯，管控机制落地。</w:t>
      </w:r>
    </w:p>
    <w:p w14:paraId="75BB108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：严格执行季度期间核查制度，常态化保障仪器精度稳定。</w:t>
      </w:r>
    </w:p>
    <w:p w14:paraId="4E4677D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：仪器过程管控完善，体系闭环，可结案。</w:t>
      </w:r>
    </w:p>
    <w:p w14:paraId="12D2FF4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：仪器年度校准合格不代表全年精度稳定，设备长期振动、温湿度变化、老化会造成阶段性精度漂移。无期间核查会导致全年大部分时间使用失真数据，属于计量管控典型体系漏洞。</w:t>
      </w:r>
    </w:p>
    <w:p w14:paraId="3E2CD08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采用标准比对块、标准电压源开展固定核查；2. 建立仪器精度趋势分析，提前预判老化漂移；3. 期间核查记录纳入年度体系审核资料。</w:t>
      </w:r>
    </w:p>
    <w:p w14:paraId="6458A53B">
      <w:pPr>
        <w:pStyle w:val="4"/>
        <w:keepNext w:val="0"/>
        <w:keepLines w:val="0"/>
        <w:widowControl/>
        <w:suppressLineNumbers w:val="0"/>
        <w:jc w:val="left"/>
        <w:rPr>
          <w:rFonts w:hint="eastAsia" w:ascii="宋体" w:hAnsi="宋体" w:eastAsia="宋体" w:cs="宋体"/>
        </w:rPr>
      </w:pPr>
    </w:p>
    <w:p w14:paraId="16AA4FEC">
      <w:pPr>
        <w:pStyle w:val="4"/>
        <w:keepNext w:val="0"/>
        <w:keepLines w:val="0"/>
        <w:widowControl/>
        <w:suppressLineNumbers w:val="0"/>
        <w:jc w:val="left"/>
        <w:rPr>
          <w:rFonts w:hint="eastAsia" w:ascii="宋体" w:hAnsi="宋体" w:eastAsia="宋体" w:cs="宋体"/>
        </w:rPr>
      </w:pPr>
    </w:p>
    <w:p w14:paraId="2BC924DC">
      <w:pPr>
        <w:pStyle w:val="4"/>
        <w:keepNext w:val="0"/>
        <w:keepLines w:val="0"/>
        <w:widowControl/>
        <w:suppressLineNumbers w:val="0"/>
        <w:jc w:val="left"/>
        <w:rPr>
          <w:rFonts w:hint="eastAsia" w:ascii="宋体" w:hAnsi="宋体" w:eastAsia="宋体" w:cs="宋体"/>
        </w:rPr>
      </w:pPr>
    </w:p>
    <w:p w14:paraId="1E281A6C">
      <w:pPr>
        <w:pStyle w:val="4"/>
        <w:keepNext w:val="0"/>
        <w:keepLines w:val="0"/>
        <w:widowControl/>
        <w:suppressLineNumbers w:val="0"/>
        <w:jc w:val="left"/>
        <w:rPr>
          <w:rFonts w:hint="eastAsia" w:ascii="宋体" w:hAnsi="宋体" w:eastAsia="宋体" w:cs="宋体"/>
        </w:rPr>
      </w:pPr>
    </w:p>
    <w:p w14:paraId="6B65D1C1">
      <w:pPr>
        <w:pStyle w:val="4"/>
        <w:keepNext w:val="0"/>
        <w:keepLines w:val="0"/>
        <w:widowControl/>
        <w:suppressLineNumbers w:val="0"/>
        <w:jc w:val="left"/>
        <w:rPr>
          <w:rFonts w:hint="eastAsia" w:ascii="宋体" w:hAnsi="宋体" w:eastAsia="宋体" w:cs="宋体"/>
        </w:rPr>
      </w:pPr>
    </w:p>
    <w:p w14:paraId="595C1D75">
      <w:pPr>
        <w:pStyle w:val="4"/>
        <w:keepNext w:val="0"/>
        <w:keepLines w:val="0"/>
        <w:widowControl/>
        <w:suppressLineNumbers w:val="0"/>
        <w:jc w:val="left"/>
        <w:rPr>
          <w:rFonts w:hint="eastAsia" w:ascii="宋体" w:hAnsi="宋体" w:eastAsia="宋体" w:cs="宋体"/>
        </w:rPr>
      </w:pPr>
    </w:p>
    <w:p w14:paraId="120FB8E2">
      <w:pPr>
        <w:pStyle w:val="4"/>
        <w:keepNext w:val="0"/>
        <w:keepLines w:val="0"/>
        <w:widowControl/>
        <w:suppressLineNumbers w:val="0"/>
        <w:jc w:val="left"/>
        <w:rPr>
          <w:rFonts w:hint="eastAsia" w:ascii="宋体" w:hAnsi="宋体" w:eastAsia="宋体" w:cs="宋体"/>
        </w:rPr>
      </w:pPr>
    </w:p>
    <w:p w14:paraId="13489E46">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【NCR048】校准证书无CNAS</w:t>
      </w:r>
    </w:p>
    <w:p w14:paraId="2072F1B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：部分仪器校准证书为第三方普通校准，无CNAS认可标识，不具备体系审核、客户审厂合规效力，量值溯源权威性不足。</w:t>
      </w:r>
    </w:p>
    <w:p w14:paraId="16F8730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量值溯源权威资质要求</w:t>
      </w:r>
    </w:p>
    <w:p w14:paraId="27D2154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校准机构资质溯源规范</w:t>
      </w:r>
    </w:p>
    <w:p w14:paraId="3F69C54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B11F7F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：立即梳理无CNAS证书仪器，优先替换有CNAS校准证书的合格设备上机使用，临时规避审厂风险。</w:t>
      </w:r>
    </w:p>
    <w:p w14:paraId="1116353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前期送检未明确要求CNAS资质证书，送检标准不清晰；2. 采购校准服务未审核机构资质；3. 证书归档审核不严，无资质证书未拦截。</w:t>
      </w:r>
    </w:p>
    <w:p w14:paraId="63CD069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明确所有ESD检测仪器必须送检具备CNAS资质机构；2. 证书归档前增设资质审核环节，无CNAS标识不予归档；3. 存量无资质证书仪器统一重新送检换证。</w:t>
      </w:r>
    </w:p>
    <w:p w14:paraId="7E193B7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：所有仪器校准证书均具备CNAS认可资质，溯源合规、审厂有效。</w:t>
      </w:r>
    </w:p>
    <w:p w14:paraId="0B59C77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：固化送检资质标准，严格证书审核归档，杜绝无效证书。</w:t>
      </w:r>
    </w:p>
    <w:p w14:paraId="6361DC4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：仪器溯源资质合规，体系闭环，可结案。</w:t>
      </w:r>
    </w:p>
    <w:p w14:paraId="2CB1171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：无CNAS标识校准证书不被国际、国内体系审核及客户审厂认可，属于合规性硬伤，直接判定量值溯源无效，极易造成审厂重大不合格、客户停线稽核。</w:t>
      </w:r>
    </w:p>
    <w:p w14:paraId="0E773A6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固定合作CNAS认证实验室，统一送检渠道；2. 建立证书资质审核清单，逐项核对；3. 年度汇总证书台账，提前排查不合规证书。</w:t>
      </w:r>
    </w:p>
    <w:p w14:paraId="4165494B">
      <w:pPr>
        <w:pStyle w:val="4"/>
        <w:keepNext w:val="0"/>
        <w:keepLines w:val="0"/>
        <w:widowControl/>
        <w:suppressLineNumbers w:val="0"/>
        <w:jc w:val="left"/>
        <w:rPr>
          <w:rFonts w:hint="eastAsia" w:ascii="宋体" w:hAnsi="宋体" w:eastAsia="宋体" w:cs="宋体"/>
        </w:rPr>
      </w:pPr>
    </w:p>
    <w:p w14:paraId="345BFA67">
      <w:pPr>
        <w:pStyle w:val="4"/>
        <w:keepNext w:val="0"/>
        <w:keepLines w:val="0"/>
        <w:widowControl/>
        <w:suppressLineNumbers w:val="0"/>
        <w:jc w:val="left"/>
        <w:rPr>
          <w:rFonts w:hint="eastAsia" w:ascii="宋体" w:hAnsi="宋体" w:eastAsia="宋体" w:cs="宋体"/>
        </w:rPr>
      </w:pPr>
    </w:p>
    <w:p w14:paraId="1292AD25">
      <w:pPr>
        <w:pStyle w:val="4"/>
        <w:keepNext w:val="0"/>
        <w:keepLines w:val="0"/>
        <w:widowControl/>
        <w:suppressLineNumbers w:val="0"/>
        <w:jc w:val="left"/>
        <w:rPr>
          <w:rFonts w:hint="eastAsia" w:ascii="宋体" w:hAnsi="宋体" w:eastAsia="宋体" w:cs="宋体"/>
        </w:rPr>
      </w:pPr>
    </w:p>
    <w:p w14:paraId="0C92BAEC">
      <w:pPr>
        <w:pStyle w:val="4"/>
        <w:keepNext w:val="0"/>
        <w:keepLines w:val="0"/>
        <w:widowControl/>
        <w:suppressLineNumbers w:val="0"/>
        <w:jc w:val="left"/>
        <w:rPr>
          <w:rFonts w:hint="eastAsia" w:ascii="宋体" w:hAnsi="宋体" w:eastAsia="宋体" w:cs="宋体"/>
        </w:rPr>
      </w:pPr>
    </w:p>
    <w:p w14:paraId="5F5F7AE9">
      <w:pPr>
        <w:pStyle w:val="4"/>
        <w:keepNext w:val="0"/>
        <w:keepLines w:val="0"/>
        <w:widowControl/>
        <w:suppressLineNumbers w:val="0"/>
        <w:jc w:val="left"/>
        <w:rPr>
          <w:rFonts w:hint="eastAsia" w:ascii="宋体" w:hAnsi="宋体" w:eastAsia="宋体" w:cs="宋体"/>
        </w:rPr>
      </w:pPr>
    </w:p>
    <w:p w14:paraId="388A488A">
      <w:pPr>
        <w:pStyle w:val="4"/>
        <w:keepNext w:val="0"/>
        <w:keepLines w:val="0"/>
        <w:widowControl/>
        <w:suppressLineNumbers w:val="0"/>
        <w:jc w:val="left"/>
        <w:rPr>
          <w:rFonts w:hint="eastAsia" w:ascii="宋体" w:hAnsi="宋体" w:eastAsia="宋体" w:cs="宋体"/>
        </w:rPr>
      </w:pPr>
    </w:p>
    <w:p w14:paraId="0FD99259">
      <w:pPr>
        <w:pStyle w:val="4"/>
        <w:keepNext w:val="0"/>
        <w:keepLines w:val="0"/>
        <w:widowControl/>
        <w:suppressLineNumbers w:val="0"/>
        <w:jc w:val="left"/>
        <w:rPr>
          <w:rFonts w:hint="eastAsia" w:ascii="宋体" w:hAnsi="宋体" w:eastAsia="宋体" w:cs="宋体"/>
        </w:rPr>
      </w:pPr>
    </w:p>
    <w:p w14:paraId="00EA7C96">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【NCR049】工作台插座未接地</w:t>
      </w:r>
    </w:p>
    <w:p w14:paraId="037B5D6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：多个作业工作台电源插座未有效接地，设备、工具供电回路无接地保护，设备外壳易累积静电、漏电，存在放电与安全隐患。</w:t>
      </w:r>
    </w:p>
    <w:p w14:paraId="05C2995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工位供电接地安全要求</w:t>
      </w:r>
    </w:p>
    <w:p w14:paraId="3BE5440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工位电气接地防护规范</w:t>
      </w:r>
    </w:p>
    <w:p w14:paraId="46C125E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9EF244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：立即停用未接地插座，禁止设备取电使用，临时转接合规接地插座供电，保障工位安全。</w:t>
      </w:r>
    </w:p>
    <w:p w14:paraId="5941179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前期电路施工布线不规范，插座未做接地布线；2. 日常巡检仅核查通电，忽略接地有效性；3. 无工位插座接地验收、复测机制。</w:t>
      </w:r>
    </w:p>
    <w:p w14:paraId="0B04999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对所有未接地插座统一整改布线，完成规范接地施工；2. 全覆盖复测工位插座接地导通性能；3. 将插座接地有效性纳入月度电气专项稽查。</w:t>
      </w:r>
    </w:p>
    <w:p w14:paraId="4731B0B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：全厂工作台插座全部有效接地，供电回路接地合规，静电、漏电风险清零。</w:t>
      </w:r>
    </w:p>
    <w:p w14:paraId="63C8BDB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：新增插座施工必验收，定期复测接地性能。</w:t>
      </w:r>
    </w:p>
    <w:p w14:paraId="093E7B5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：工位电气接地合规，隐患闭环，可结案。</w:t>
      </w:r>
    </w:p>
    <w:p w14:paraId="016A5FA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：设备通过电源插座实现外壳接地，插座未接地会导致设备完全悬浮电位，运行感应静电持续累积无法泄放，接触产品瞬间极易放电击穿，同时附带电气安全隐患，属于基础电气ESD双重隐患。</w:t>
      </w:r>
    </w:p>
    <w:p w14:paraId="5C55184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工位插座统一贴标接地状态，目视化管控；2. 年度开展全车间插座接地全覆盖复测；3. 电路改造同步落实ESD接地标准。</w:t>
      </w:r>
    </w:p>
    <w:p w14:paraId="5CBA780A">
      <w:pPr>
        <w:pStyle w:val="4"/>
        <w:keepNext w:val="0"/>
        <w:keepLines w:val="0"/>
        <w:widowControl/>
        <w:suppressLineNumbers w:val="0"/>
        <w:jc w:val="left"/>
        <w:rPr>
          <w:rFonts w:hint="eastAsia" w:ascii="宋体" w:hAnsi="宋体" w:eastAsia="宋体" w:cs="宋体"/>
        </w:rPr>
      </w:pPr>
    </w:p>
    <w:p w14:paraId="63C4C936">
      <w:pPr>
        <w:pStyle w:val="4"/>
        <w:keepNext w:val="0"/>
        <w:keepLines w:val="0"/>
        <w:widowControl/>
        <w:suppressLineNumbers w:val="0"/>
        <w:jc w:val="left"/>
        <w:rPr>
          <w:rFonts w:hint="eastAsia" w:ascii="宋体" w:hAnsi="宋体" w:eastAsia="宋体" w:cs="宋体"/>
        </w:rPr>
      </w:pPr>
    </w:p>
    <w:p w14:paraId="623BE483">
      <w:pPr>
        <w:pStyle w:val="4"/>
        <w:keepNext w:val="0"/>
        <w:keepLines w:val="0"/>
        <w:widowControl/>
        <w:suppressLineNumbers w:val="0"/>
        <w:jc w:val="left"/>
        <w:rPr>
          <w:rFonts w:hint="eastAsia" w:ascii="宋体" w:hAnsi="宋体" w:eastAsia="宋体" w:cs="宋体"/>
        </w:rPr>
      </w:pPr>
    </w:p>
    <w:p w14:paraId="4C146A1A">
      <w:pPr>
        <w:pStyle w:val="4"/>
        <w:keepNext w:val="0"/>
        <w:keepLines w:val="0"/>
        <w:widowControl/>
        <w:suppressLineNumbers w:val="0"/>
        <w:jc w:val="left"/>
        <w:rPr>
          <w:rFonts w:hint="eastAsia" w:ascii="宋体" w:hAnsi="宋体" w:eastAsia="宋体" w:cs="宋体"/>
        </w:rPr>
      </w:pPr>
    </w:p>
    <w:p w14:paraId="7F2D1DB2">
      <w:pPr>
        <w:pStyle w:val="4"/>
        <w:keepNext w:val="0"/>
        <w:keepLines w:val="0"/>
        <w:widowControl/>
        <w:suppressLineNumbers w:val="0"/>
        <w:jc w:val="left"/>
        <w:rPr>
          <w:rFonts w:hint="eastAsia" w:ascii="宋体" w:hAnsi="宋体" w:eastAsia="宋体" w:cs="宋体"/>
        </w:rPr>
      </w:pPr>
    </w:p>
    <w:p w14:paraId="019E40B1">
      <w:pPr>
        <w:pStyle w:val="4"/>
        <w:keepNext w:val="0"/>
        <w:keepLines w:val="0"/>
        <w:widowControl/>
        <w:suppressLineNumbers w:val="0"/>
        <w:jc w:val="left"/>
        <w:rPr>
          <w:rFonts w:hint="eastAsia" w:ascii="宋体" w:hAnsi="宋体" w:eastAsia="宋体" w:cs="宋体"/>
        </w:rPr>
      </w:pPr>
    </w:p>
    <w:p w14:paraId="3C167CD6">
      <w:pPr>
        <w:pStyle w:val="4"/>
        <w:keepNext w:val="0"/>
        <w:keepLines w:val="0"/>
        <w:widowControl/>
        <w:suppressLineNumbers w:val="0"/>
        <w:jc w:val="left"/>
        <w:rPr>
          <w:rFonts w:hint="eastAsia" w:ascii="宋体" w:hAnsi="宋体" w:eastAsia="宋体" w:cs="宋体"/>
        </w:rPr>
      </w:pPr>
    </w:p>
    <w:p w14:paraId="58B858E0">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【NCR050】测试记录无温湿度</w:t>
      </w:r>
    </w:p>
    <w:p w14:paraId="25EA5B4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：各类ESD测试、产品检测记录未填写环境温湿度数据，测试环境条件无记录留存，测试数据无法对应环境工况，异常无法溯源分析。</w:t>
      </w:r>
    </w:p>
    <w:p w14:paraId="6A7716A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5.4 测试环境参数记录要求</w:t>
      </w:r>
    </w:p>
    <w:p w14:paraId="78B16A2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5.4 静电测试环境数据追溯规范</w:t>
      </w:r>
    </w:p>
    <w:p w14:paraId="1E41BBE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B339F4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：立即整改所有在使用记录表单，强制增加温湿度填写栏，作业人员测试同步记录环境数据，杜绝空项。</w:t>
      </w:r>
    </w:p>
    <w:p w14:paraId="2474AC9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原始表单设计缺失温湿度记录栏目；2. 作业人员未认知环境参数对ESD测试的影响；3. 记录审核不严，无温湿度数据照常归档。</w:t>
      </w:r>
    </w:p>
    <w:p w14:paraId="7CB64A7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全线改版测试记录表，固化温湿度必填项；2. 明确测试作业必须同步记录实时环境数据；3. 记录审核环节重点核查环境参数完整性。</w:t>
      </w:r>
    </w:p>
    <w:p w14:paraId="6DDCDD1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：所有测试记录均完整填写温湿度数据，测试工况可追溯，记录合规有效。</w:t>
      </w:r>
    </w:p>
    <w:p w14:paraId="22120D7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：常态化落实记录审核，杜绝缺项、漏项。</w:t>
      </w:r>
    </w:p>
    <w:p w14:paraId="33F6635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：测试记录管控合规，体系闭环，可结案。</w:t>
      </w:r>
    </w:p>
    <w:p w14:paraId="1D67836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：温湿度直接决定静电产生与消散效率，低湿度环境测试数据偏差、不良概率显著升高。无环境记录会导致所有测试结果无工况支撑，不良复盘、数据分析完全失效，属于数据追溯体系关键缺失。</w:t>
      </w:r>
    </w:p>
    <w:p w14:paraId="6129B9E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表单标准化统一改版，杜绝非标临时表格；2. 培训员工掌握温湿度对ESD测试的影响逻辑；3. 异常测试数据优先联动核查环境工况。</w:t>
      </w:r>
    </w:p>
    <w:p w14:paraId="7F8C5910">
      <w:pPr>
        <w:pStyle w:val="4"/>
        <w:keepNext w:val="0"/>
        <w:keepLines w:val="0"/>
        <w:widowControl/>
        <w:suppressLineNumbers w:val="0"/>
        <w:jc w:val="left"/>
        <w:rPr>
          <w:rFonts w:hint="eastAsia" w:ascii="宋体" w:hAnsi="宋体" w:eastAsia="宋体" w:cs="宋体"/>
        </w:rPr>
      </w:pPr>
    </w:p>
    <w:p w14:paraId="11B26684">
      <w:pPr>
        <w:pStyle w:val="4"/>
        <w:keepNext w:val="0"/>
        <w:keepLines w:val="0"/>
        <w:widowControl/>
        <w:suppressLineNumbers w:val="0"/>
        <w:jc w:val="left"/>
        <w:rPr>
          <w:rFonts w:hint="eastAsia" w:ascii="宋体" w:hAnsi="宋体" w:eastAsia="宋体" w:cs="宋体"/>
        </w:rPr>
      </w:pPr>
    </w:p>
    <w:p w14:paraId="2D779C5E">
      <w:pPr>
        <w:pStyle w:val="4"/>
        <w:keepNext w:val="0"/>
        <w:keepLines w:val="0"/>
        <w:widowControl/>
        <w:suppressLineNumbers w:val="0"/>
        <w:jc w:val="left"/>
        <w:rPr>
          <w:rFonts w:hint="eastAsia" w:ascii="宋体" w:hAnsi="宋体" w:eastAsia="宋体" w:cs="宋体"/>
        </w:rPr>
      </w:pPr>
    </w:p>
    <w:p w14:paraId="3870870F">
      <w:pPr>
        <w:pStyle w:val="4"/>
        <w:keepNext w:val="0"/>
        <w:keepLines w:val="0"/>
        <w:widowControl/>
        <w:suppressLineNumbers w:val="0"/>
        <w:jc w:val="left"/>
        <w:rPr>
          <w:rFonts w:hint="eastAsia" w:ascii="宋体" w:hAnsi="宋体" w:eastAsia="宋体" w:cs="宋体"/>
        </w:rPr>
      </w:pPr>
    </w:p>
    <w:p w14:paraId="02A767FC">
      <w:pPr>
        <w:pStyle w:val="4"/>
        <w:keepNext w:val="0"/>
        <w:keepLines w:val="0"/>
        <w:widowControl/>
        <w:suppressLineNumbers w:val="0"/>
        <w:jc w:val="left"/>
        <w:rPr>
          <w:rFonts w:hint="eastAsia" w:ascii="宋体" w:hAnsi="宋体" w:eastAsia="宋体" w:cs="宋体"/>
        </w:rPr>
      </w:pPr>
    </w:p>
    <w:p w14:paraId="423ADF72">
      <w:pPr>
        <w:pStyle w:val="4"/>
        <w:keepNext w:val="0"/>
        <w:keepLines w:val="0"/>
        <w:widowControl/>
        <w:suppressLineNumbers w:val="0"/>
        <w:jc w:val="left"/>
        <w:rPr>
          <w:rFonts w:hint="eastAsia" w:ascii="宋体" w:hAnsi="宋体" w:eastAsia="宋体" w:cs="宋体"/>
        </w:rPr>
      </w:pPr>
    </w:p>
    <w:p w14:paraId="1F6813A3">
      <w:pPr>
        <w:pStyle w:val="4"/>
        <w:keepNext w:val="0"/>
        <w:keepLines w:val="0"/>
        <w:widowControl/>
        <w:suppressLineNumbers w:val="0"/>
        <w:jc w:val="left"/>
        <w:rPr>
          <w:rFonts w:hint="eastAsia" w:ascii="宋体" w:hAnsi="宋体" w:eastAsia="宋体" w:cs="宋体"/>
        </w:rPr>
      </w:pPr>
    </w:p>
    <w:p w14:paraId="66A5DDC7">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【NCR051】校准标签无有效期</w:t>
      </w:r>
    </w:p>
    <w:p w14:paraId="4902713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：仪器设备张贴的校准标签仅标注校准日期，无有效期、失效日期，无法直观判断设备是否在校，目视化管控失效。</w:t>
      </w:r>
    </w:p>
    <w:p w14:paraId="06661D1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仪器状态目视化标识要求</w:t>
      </w:r>
    </w:p>
    <w:p w14:paraId="254D81A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计量设备状态标识规范</w:t>
      </w:r>
    </w:p>
    <w:p w14:paraId="0FE2D29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F1B8EA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：立即补全所有仪器校准有效期信息，临时手写标注失效日期，杜绝状态模糊设备上机使用。</w:t>
      </w:r>
    </w:p>
    <w:p w14:paraId="09DE86F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校准标签模板不规范，缺少有效期栏目；2. 管理人员贴标未补填有效期信息，工作疏漏；3. 无标签合规性检查机制。</w:t>
      </w:r>
    </w:p>
    <w:p w14:paraId="619314E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统一更换标准化校准标签，含校准日期、有效期、失效日、责任人；2. 贴标完成后双人核对，确保信息完整；3. 将标签完整性、规范性纳入日常稽查。</w:t>
      </w:r>
    </w:p>
    <w:p w14:paraId="4C9529E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：所有仪器校准标签信息完整、有效期清晰，目视化管控达标。</w:t>
      </w:r>
    </w:p>
    <w:p w14:paraId="1B80AEC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：严格执行标准化贴标，定期排查标签信息完整性。</w:t>
      </w:r>
    </w:p>
    <w:p w14:paraId="516E944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：仪器目视化管控合规，闭环达标，可结案。</w:t>
      </w:r>
    </w:p>
    <w:p w14:paraId="32C29A8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：校准标签是现场最直观的仪器合规判定依据，无有效期极易造成超期设备误用，是审厂高频基础不符合项，暴露现场精细化管理不足。</w:t>
      </w:r>
    </w:p>
    <w:p w14:paraId="4349513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采用颜色区分有效期阶段，临近到期醒目预警；2. 标签信息与电子化台账一一对应；3. 设备移位、维保后同步复核标签状态。</w:t>
      </w:r>
    </w:p>
    <w:p w14:paraId="4506764F">
      <w:pPr>
        <w:pStyle w:val="4"/>
        <w:keepNext w:val="0"/>
        <w:keepLines w:val="0"/>
        <w:widowControl/>
        <w:suppressLineNumbers w:val="0"/>
        <w:jc w:val="left"/>
        <w:rPr>
          <w:rFonts w:hint="eastAsia" w:ascii="宋体" w:hAnsi="宋体" w:eastAsia="宋体" w:cs="宋体"/>
        </w:rPr>
      </w:pPr>
    </w:p>
    <w:p w14:paraId="6A14AED9">
      <w:pPr>
        <w:pStyle w:val="4"/>
        <w:keepNext w:val="0"/>
        <w:keepLines w:val="0"/>
        <w:widowControl/>
        <w:suppressLineNumbers w:val="0"/>
        <w:jc w:val="left"/>
        <w:rPr>
          <w:rFonts w:hint="eastAsia" w:ascii="宋体" w:hAnsi="宋体" w:eastAsia="宋体" w:cs="宋体"/>
        </w:rPr>
      </w:pPr>
    </w:p>
    <w:p w14:paraId="1E883748">
      <w:pPr>
        <w:pStyle w:val="4"/>
        <w:keepNext w:val="0"/>
        <w:keepLines w:val="0"/>
        <w:widowControl/>
        <w:suppressLineNumbers w:val="0"/>
        <w:jc w:val="left"/>
        <w:rPr>
          <w:rFonts w:hint="eastAsia" w:ascii="宋体" w:hAnsi="宋体" w:eastAsia="宋体" w:cs="宋体"/>
        </w:rPr>
      </w:pPr>
    </w:p>
    <w:p w14:paraId="4F5522F4">
      <w:pPr>
        <w:pStyle w:val="4"/>
        <w:keepNext w:val="0"/>
        <w:keepLines w:val="0"/>
        <w:widowControl/>
        <w:suppressLineNumbers w:val="0"/>
        <w:jc w:val="left"/>
        <w:rPr>
          <w:rFonts w:hint="eastAsia" w:ascii="宋体" w:hAnsi="宋体" w:eastAsia="宋体" w:cs="宋体"/>
        </w:rPr>
      </w:pPr>
    </w:p>
    <w:p w14:paraId="40CCF751">
      <w:pPr>
        <w:pStyle w:val="4"/>
        <w:keepNext w:val="0"/>
        <w:keepLines w:val="0"/>
        <w:widowControl/>
        <w:suppressLineNumbers w:val="0"/>
        <w:jc w:val="left"/>
        <w:rPr>
          <w:rFonts w:hint="eastAsia" w:ascii="宋体" w:hAnsi="宋体" w:eastAsia="宋体" w:cs="宋体"/>
        </w:rPr>
      </w:pPr>
    </w:p>
    <w:p w14:paraId="3B2C2391">
      <w:pPr>
        <w:pStyle w:val="4"/>
        <w:keepNext w:val="0"/>
        <w:keepLines w:val="0"/>
        <w:widowControl/>
        <w:suppressLineNumbers w:val="0"/>
        <w:jc w:val="left"/>
        <w:rPr>
          <w:rFonts w:hint="eastAsia" w:ascii="宋体" w:hAnsi="宋体" w:eastAsia="宋体" w:cs="宋体"/>
        </w:rPr>
      </w:pPr>
    </w:p>
    <w:p w14:paraId="2BFDADBC">
      <w:pPr>
        <w:pStyle w:val="4"/>
        <w:keepNext w:val="0"/>
        <w:keepLines w:val="0"/>
        <w:widowControl/>
        <w:suppressLineNumbers w:val="0"/>
        <w:jc w:val="left"/>
        <w:rPr>
          <w:rFonts w:hint="eastAsia" w:ascii="宋体" w:hAnsi="宋体" w:eastAsia="宋体" w:cs="宋体"/>
        </w:rPr>
      </w:pPr>
    </w:p>
    <w:p w14:paraId="15F98365">
      <w:pPr>
        <w:pStyle w:val="4"/>
        <w:keepNext w:val="0"/>
        <w:keepLines w:val="0"/>
        <w:widowControl/>
        <w:suppressLineNumbers w:val="0"/>
        <w:jc w:val="left"/>
        <w:rPr>
          <w:rFonts w:hint="eastAsia" w:ascii="宋体" w:hAnsi="宋体" w:eastAsia="宋体" w:cs="宋体"/>
        </w:rPr>
      </w:pPr>
    </w:p>
    <w:p w14:paraId="008AF0C3">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【NCR052】测试仪未溯源</w:t>
      </w:r>
    </w:p>
    <w:p w14:paraId="36C0D23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：部分便携静电测试仪、点检仪器无完整量值溯源链条，无上级标准器具比对、无校准证书，量值无法追溯至国家基准。</w:t>
      </w:r>
    </w:p>
    <w:p w14:paraId="3B9B120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全量值溯源链条要求</w:t>
      </w:r>
    </w:p>
    <w:p w14:paraId="74ACEFD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测试设备量值溯源链条规范</w:t>
      </w:r>
    </w:p>
    <w:p w14:paraId="2E13100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241D59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：立即停用无溯源仪器，替换合规溯源设备，暂停无溯源仪器检测权限。</w:t>
      </w:r>
    </w:p>
    <w:p w14:paraId="74B80E9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小型便携仪器被遗漏，未纳入溯源台账；2. 管理人员认为小型仪器无需溯源，认知偏差；3. 无全品类仪器溯源排查机制。</w:t>
      </w:r>
    </w:p>
    <w:p w14:paraId="0BB20A9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全覆盖梳理所有检测仪器，无论大小全部纳入溯源体系；2. 缺失溯源设备统一送检，补齐溯源链条；3. 建立仪器准入机制，无溯源资质禁止上岗。</w:t>
      </w:r>
    </w:p>
    <w:p w14:paraId="61BDD4E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：所有测试仪均完成量值溯源，链条完整、证书有效，全部合规上岗。</w:t>
      </w:r>
    </w:p>
    <w:p w14:paraId="34062E4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：年度全覆盖溯源排查，杜绝遗漏设备。</w:t>
      </w:r>
    </w:p>
    <w:p w14:paraId="372BCDD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：仪器溯源体系完整，合规闭环，可结案。</w:t>
      </w:r>
    </w:p>
    <w:p w14:paraId="642F7F4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：量值溯源是ESD体系合规的核心底线，任何检测仪器无溯源，其输出数据均视为无效，直接导致现场ESD状态无法验证，属于体系重大合规漏洞。</w:t>
      </w:r>
    </w:p>
    <w:p w14:paraId="1303EF6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建立仪器分类溯源清单，全覆盖无遗漏；2. 便携仪器单独建档，重点管控；3. 溯源链条资料统一归档留存。</w:t>
      </w:r>
    </w:p>
    <w:p w14:paraId="1A13542F">
      <w:pPr>
        <w:pStyle w:val="4"/>
        <w:keepNext w:val="0"/>
        <w:keepLines w:val="0"/>
        <w:widowControl/>
        <w:suppressLineNumbers w:val="0"/>
        <w:jc w:val="left"/>
        <w:rPr>
          <w:rFonts w:hint="eastAsia" w:ascii="宋体" w:hAnsi="宋体" w:eastAsia="宋体" w:cs="宋体"/>
        </w:rPr>
      </w:pPr>
    </w:p>
    <w:p w14:paraId="10E6D089">
      <w:pPr>
        <w:pStyle w:val="4"/>
        <w:keepNext w:val="0"/>
        <w:keepLines w:val="0"/>
        <w:widowControl/>
        <w:suppressLineNumbers w:val="0"/>
        <w:jc w:val="left"/>
        <w:rPr>
          <w:rFonts w:hint="eastAsia" w:ascii="宋体" w:hAnsi="宋体" w:eastAsia="宋体" w:cs="宋体"/>
        </w:rPr>
      </w:pPr>
    </w:p>
    <w:p w14:paraId="6A801B0F">
      <w:pPr>
        <w:pStyle w:val="4"/>
        <w:keepNext w:val="0"/>
        <w:keepLines w:val="0"/>
        <w:widowControl/>
        <w:suppressLineNumbers w:val="0"/>
        <w:jc w:val="left"/>
        <w:rPr>
          <w:rFonts w:hint="eastAsia" w:ascii="宋体" w:hAnsi="宋体" w:eastAsia="宋体" w:cs="宋体"/>
        </w:rPr>
      </w:pPr>
    </w:p>
    <w:p w14:paraId="347ADF7C">
      <w:pPr>
        <w:pStyle w:val="4"/>
        <w:keepNext w:val="0"/>
        <w:keepLines w:val="0"/>
        <w:widowControl/>
        <w:suppressLineNumbers w:val="0"/>
        <w:jc w:val="left"/>
        <w:rPr>
          <w:rFonts w:hint="eastAsia" w:ascii="宋体" w:hAnsi="宋体" w:eastAsia="宋体" w:cs="宋体"/>
        </w:rPr>
      </w:pPr>
    </w:p>
    <w:p w14:paraId="73787E07">
      <w:pPr>
        <w:pStyle w:val="4"/>
        <w:keepNext w:val="0"/>
        <w:keepLines w:val="0"/>
        <w:widowControl/>
        <w:suppressLineNumbers w:val="0"/>
        <w:jc w:val="left"/>
        <w:rPr>
          <w:rFonts w:hint="eastAsia" w:ascii="宋体" w:hAnsi="宋体" w:eastAsia="宋体" w:cs="宋体"/>
        </w:rPr>
      </w:pPr>
    </w:p>
    <w:p w14:paraId="64FEE771">
      <w:pPr>
        <w:pStyle w:val="4"/>
        <w:keepNext w:val="0"/>
        <w:keepLines w:val="0"/>
        <w:widowControl/>
        <w:suppressLineNumbers w:val="0"/>
        <w:jc w:val="left"/>
        <w:rPr>
          <w:rFonts w:hint="eastAsia" w:ascii="宋体" w:hAnsi="宋体" w:eastAsia="宋体" w:cs="宋体"/>
        </w:rPr>
      </w:pPr>
    </w:p>
    <w:p w14:paraId="3F2BCAD4">
      <w:pPr>
        <w:pStyle w:val="4"/>
        <w:keepNext w:val="0"/>
        <w:keepLines w:val="0"/>
        <w:widowControl/>
        <w:suppressLineNumbers w:val="0"/>
        <w:jc w:val="left"/>
        <w:rPr>
          <w:rFonts w:hint="eastAsia" w:ascii="宋体" w:hAnsi="宋体" w:eastAsia="宋体" w:cs="宋体"/>
        </w:rPr>
      </w:pPr>
    </w:p>
    <w:p w14:paraId="4DBD090F">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【NCR053】设备无接地验收</w:t>
      </w:r>
    </w:p>
    <w:p w14:paraId="7743AA1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：新购入、改造后的生产、测试设备投入使用前，未开展ESD接地验收，无接地导通、等电位测试记录，设备接地合规性未验证即投产。</w:t>
      </w:r>
    </w:p>
    <w:p w14:paraId="60E7C53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设备投用前接地验收要求</w:t>
      </w:r>
    </w:p>
    <w:p w14:paraId="7F85764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设备接地投用验收规范</w:t>
      </w:r>
    </w:p>
    <w:p w14:paraId="23315D3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7B78D02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：立即对所有无验收设备补做接地全项验收测试，不合格设备立即停机整改，验收合格后方可继续使用。</w:t>
      </w:r>
    </w:p>
    <w:p w14:paraId="34A3A75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无设备ESD接地投用验收流程，制度缺失；2. 设备投产只核查功能运行，忽略静电接地验收；3. 工程、生产、ESD部门交接验收缺位。</w:t>
      </w:r>
    </w:p>
    <w:p w14:paraId="4580EF2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新增设备ESD接地验收SOP，明确验收项目、标准、记录；2. 所有新设备、改造设备必须验收合格方可投产；3. 验收资料归档设备台账，实现全流程追溯。</w:t>
      </w:r>
    </w:p>
    <w:p w14:paraId="7E11A6C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：所有设备均完成接地验收，接地性能达标，验收记录完整可追溯。</w:t>
      </w:r>
    </w:p>
    <w:p w14:paraId="04F82EB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：严格执行投用验收制度，无验收、无记录禁止投产。</w:t>
      </w:r>
    </w:p>
    <w:p w14:paraId="715E932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：设备投用管控闭环，体系合规，可结案。</w:t>
      </w:r>
    </w:p>
    <w:p w14:paraId="1F0ED63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：设备接地不良、电位异常是批量ESD不良的首要诱因，投用前无验收会导致不合格设备直接上线，带风险生产，属于前置管控失效、源头管控缺失。</w:t>
      </w:r>
    </w:p>
    <w:p w14:paraId="52F8029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设备验收实行工程、品质、ESD三方签字确认；2. 验收不合格禁止投产，闭环整改后方可放行；3. 建立设备验收标准化检查表。</w:t>
      </w:r>
    </w:p>
    <w:p w14:paraId="0F8FD842">
      <w:pPr>
        <w:rPr>
          <w:rFonts w:hint="eastAsia" w:ascii="宋体" w:hAnsi="宋体" w:eastAsia="宋体" w:cs="宋体"/>
        </w:rPr>
      </w:pPr>
    </w:p>
    <w:p w14:paraId="765A6979">
      <w:pPr>
        <w:rPr>
          <w:rFonts w:hint="eastAsia" w:ascii="宋体" w:hAnsi="宋体" w:eastAsia="宋体" w:cs="宋体"/>
        </w:rPr>
      </w:pPr>
    </w:p>
    <w:p w14:paraId="3C41BFD6">
      <w:pPr>
        <w:pStyle w:val="4"/>
        <w:keepNext w:val="0"/>
        <w:keepLines w:val="0"/>
        <w:widowControl/>
        <w:suppressLineNumbers w:val="0"/>
        <w:jc w:val="left"/>
        <w:rPr>
          <w:rFonts w:hint="eastAsia" w:ascii="宋体" w:hAnsi="宋体" w:eastAsia="宋体" w:cs="宋体"/>
        </w:rPr>
      </w:pPr>
    </w:p>
    <w:p w14:paraId="569860AF">
      <w:pPr>
        <w:pStyle w:val="4"/>
        <w:keepNext w:val="0"/>
        <w:keepLines w:val="0"/>
        <w:widowControl/>
        <w:suppressLineNumbers w:val="0"/>
        <w:jc w:val="left"/>
        <w:rPr>
          <w:rFonts w:hint="eastAsia" w:ascii="宋体" w:hAnsi="宋体" w:eastAsia="宋体" w:cs="宋体"/>
        </w:rPr>
      </w:pPr>
    </w:p>
    <w:p w14:paraId="0EA09945">
      <w:pPr>
        <w:pStyle w:val="4"/>
        <w:keepNext w:val="0"/>
        <w:keepLines w:val="0"/>
        <w:widowControl/>
        <w:suppressLineNumbers w:val="0"/>
        <w:jc w:val="left"/>
        <w:rPr>
          <w:rFonts w:hint="eastAsia" w:ascii="宋体" w:hAnsi="宋体" w:eastAsia="宋体" w:cs="宋体"/>
        </w:rPr>
      </w:pPr>
    </w:p>
    <w:p w14:paraId="7E68F796">
      <w:pPr>
        <w:pStyle w:val="4"/>
        <w:keepNext w:val="0"/>
        <w:keepLines w:val="0"/>
        <w:widowControl/>
        <w:suppressLineNumbers w:val="0"/>
        <w:jc w:val="left"/>
        <w:rPr>
          <w:rFonts w:hint="eastAsia" w:ascii="宋体" w:hAnsi="宋体" w:eastAsia="宋体" w:cs="宋体"/>
        </w:rPr>
      </w:pPr>
    </w:p>
    <w:p w14:paraId="73DC473C">
      <w:pPr>
        <w:pStyle w:val="4"/>
        <w:keepNext w:val="0"/>
        <w:keepLines w:val="0"/>
        <w:widowControl/>
        <w:suppressLineNumbers w:val="0"/>
        <w:jc w:val="left"/>
        <w:rPr>
          <w:rFonts w:hint="eastAsia" w:ascii="宋体" w:hAnsi="宋体" w:eastAsia="宋体" w:cs="宋体"/>
        </w:rPr>
      </w:pPr>
    </w:p>
    <w:p w14:paraId="66165E06">
      <w:pPr>
        <w:pStyle w:val="4"/>
        <w:keepNext w:val="0"/>
        <w:keepLines w:val="0"/>
        <w:widowControl/>
        <w:suppressLineNumbers w:val="0"/>
        <w:jc w:val="left"/>
        <w:rPr>
          <w:rFonts w:hint="eastAsia" w:ascii="宋体" w:hAnsi="宋体" w:eastAsia="宋体" w:cs="宋体"/>
        </w:rPr>
      </w:pPr>
    </w:p>
    <w:p w14:paraId="4795D56C">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【NCR054】防静电鞋测试仪闲置未校</w:t>
      </w:r>
    </w:p>
    <w:p w14:paraId="55730A4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：人员防静电鞋专用测试仪长期闲置未送检校准，设备超期失效，每日人员鞋体检测数据失真，无法验证防静电鞋性能合格性。</w:t>
      </w:r>
    </w:p>
    <w:p w14:paraId="797F313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人体防护检测仪器校准要求</w:t>
      </w:r>
    </w:p>
    <w:p w14:paraId="53AD3FA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人体静电检测设备校准规范</w:t>
      </w:r>
    </w:p>
    <w:p w14:paraId="2437A65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9A8760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：立即停用超期测试仪，送检校准，临时采用人工抽检+备用合格设备开展鞋体检测。</w:t>
      </w:r>
    </w:p>
    <w:p w14:paraId="41D8231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闲置设备未纳入校准台账，长期无人管控；2. 管理人员误认为闲置设备无需校准；3. 无闲置设备定期盘点、状态核查机制。</w:t>
      </w:r>
    </w:p>
    <w:p w14:paraId="74A9A5A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将所有闲置、在用检测仪器全部纳入统一校准台账，无例外管控；2. 明确设备无论是否常态使用，均需按期校准、状态备案；3. 建立闲置设备季度盘点机制，及时核查设备状态与校准有效期。</w:t>
      </w:r>
    </w:p>
    <w:p w14:paraId="5185DD2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：防静电鞋测试仪已完成校准，取得有效CNAS证书，设备状态合格，检测数据精准可追溯。</w:t>
      </w:r>
    </w:p>
    <w:p w14:paraId="4671564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：常态化落实闲置设备盘点与校准预警，杜绝超期未校设备留存现场。</w:t>
      </w:r>
    </w:p>
    <w:p w14:paraId="7265E66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：人体检测仪器管控闭环，合规达标，可结案。</w:t>
      </w:r>
    </w:p>
    <w:p w14:paraId="07D8868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人体防静电检测设备是管控人员静电带入的关键器具，闲置设备超期未校会导致人员防静电穿戴性能检测失效，无法筛查不合格鞋体、穿戴隐患，人员带静电入区作业的风险完全处于失控状态，属于现场隐蔽性极强的体系漏洞。</w:t>
      </w:r>
    </w:p>
    <w:p w14:paraId="1C7F163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单独建立闲置仪器专项管控清单，定期核查状态；2. 闲置设备统一封存贴标，区分在用/闲置状态；3. 闲置复用设备必须先校准、后上岗，杜绝直接复用。</w:t>
      </w:r>
    </w:p>
    <w:p w14:paraId="4B83C87A">
      <w:pPr>
        <w:pStyle w:val="4"/>
        <w:keepNext w:val="0"/>
        <w:keepLines w:val="0"/>
        <w:widowControl/>
        <w:suppressLineNumbers w:val="0"/>
        <w:jc w:val="left"/>
        <w:rPr>
          <w:rFonts w:hint="eastAsia" w:ascii="宋体" w:hAnsi="宋体" w:eastAsia="宋体" w:cs="宋体"/>
        </w:rPr>
      </w:pPr>
    </w:p>
    <w:p w14:paraId="2944C211">
      <w:pPr>
        <w:pStyle w:val="4"/>
        <w:keepNext w:val="0"/>
        <w:keepLines w:val="0"/>
        <w:widowControl/>
        <w:suppressLineNumbers w:val="0"/>
        <w:jc w:val="left"/>
        <w:rPr>
          <w:rFonts w:hint="eastAsia" w:ascii="宋体" w:hAnsi="宋体" w:eastAsia="宋体" w:cs="宋体"/>
        </w:rPr>
      </w:pPr>
    </w:p>
    <w:p w14:paraId="43A744B7">
      <w:pPr>
        <w:pStyle w:val="4"/>
        <w:keepNext w:val="0"/>
        <w:keepLines w:val="0"/>
        <w:widowControl/>
        <w:suppressLineNumbers w:val="0"/>
        <w:jc w:val="left"/>
        <w:rPr>
          <w:rFonts w:hint="eastAsia" w:ascii="宋体" w:hAnsi="宋体" w:eastAsia="宋体" w:cs="宋体"/>
        </w:rPr>
      </w:pPr>
    </w:p>
    <w:p w14:paraId="454F12AE">
      <w:pPr>
        <w:pStyle w:val="4"/>
        <w:keepNext w:val="0"/>
        <w:keepLines w:val="0"/>
        <w:widowControl/>
        <w:suppressLineNumbers w:val="0"/>
        <w:jc w:val="left"/>
        <w:rPr>
          <w:rFonts w:hint="eastAsia" w:ascii="宋体" w:hAnsi="宋体" w:eastAsia="宋体" w:cs="宋体"/>
        </w:rPr>
      </w:pPr>
    </w:p>
    <w:p w14:paraId="4DEB8AA4">
      <w:pPr>
        <w:pStyle w:val="4"/>
        <w:keepNext w:val="0"/>
        <w:keepLines w:val="0"/>
        <w:widowControl/>
        <w:suppressLineNumbers w:val="0"/>
        <w:jc w:val="left"/>
        <w:rPr>
          <w:rFonts w:hint="eastAsia" w:ascii="宋体" w:hAnsi="宋体" w:eastAsia="宋体" w:cs="宋体"/>
        </w:rPr>
      </w:pPr>
    </w:p>
    <w:p w14:paraId="591B977D">
      <w:pPr>
        <w:pStyle w:val="4"/>
        <w:keepNext w:val="0"/>
        <w:keepLines w:val="0"/>
        <w:widowControl/>
        <w:suppressLineNumbers w:val="0"/>
        <w:jc w:val="left"/>
        <w:rPr>
          <w:rFonts w:hint="eastAsia" w:ascii="宋体" w:hAnsi="宋体" w:eastAsia="宋体" w:cs="宋体"/>
        </w:rPr>
      </w:pPr>
    </w:p>
    <w:p w14:paraId="22CC6A9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【NCR055】仪器无状态标识</w:t>
      </w:r>
    </w:p>
    <w:p w14:paraId="5D2E3BA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：现场多台ESD检测仪器、辅助测试设备未张贴任何状态标识，无法直观区分合格、停用、待校、报废状态，存在不合格设备误用、混用上机风险。</w:t>
      </w:r>
    </w:p>
    <w:p w14:paraId="1D104B5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4.5 仪器设备状态目视化管控要求</w:t>
      </w:r>
    </w:p>
    <w:p w14:paraId="35CA417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4.5 计量设备状态标识可视化规范</w:t>
      </w:r>
    </w:p>
    <w:p w14:paraId="238BCF5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D2E03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：立即对所有无标识仪器逐台核查校准状态、使用状态，临时张贴简易状态标签，隔离不明状态设备，禁止未知设备上机检测。</w:t>
      </w:r>
    </w:p>
    <w:p w14:paraId="57EEFCC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仪器状态标识管理制度不完善，未全覆盖所有设备；2. 新设备入场、设备状态变更后未及时更新标识；3. 日常稽查未将设备状态标识完整性纳入必查项目。</w:t>
      </w:r>
    </w:p>
    <w:p w14:paraId="4DEA2D7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统一配置合格、停用、待校、报废四类标准化状态标识，全覆盖张贴；2. 设备校准、维保、报废后24小时内更新状态标识；3. 将设备状态标识规范性纳入每日现场ESD稽查。</w:t>
      </w:r>
    </w:p>
    <w:p w14:paraId="7E312A6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：所有仪器设备均张贴对应状态标识，状态清晰、分类明确，无状态模糊、混用上机问题。</w:t>
      </w:r>
    </w:p>
    <w:p w14:paraId="40B698B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：常态化巡检设备标识完好性与准确性，状态变更即时更新，杜绝无标识设备留存现场。</w:t>
      </w:r>
    </w:p>
    <w:p w14:paraId="271D97F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：仪器目视化管控完善，风险闭环，可结案。</w:t>
      </w:r>
    </w:p>
    <w:p w14:paraId="354A0A9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：设备状态标识是现场快速合规判定的基础手段，无标识会导致合格设备、失效设备、报废设备混杂摆放，极易引发误用以致检测数据失真、不良漏判，是审厂高频基础不符合项，暴露精细化管理缺失。</w:t>
      </w:r>
    </w:p>
    <w:p w14:paraId="41E7F30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采用颜色分级标识管理，不同状态颜色区分，一目了然；2. 标识绑定设备编号、责任人，实现溯源管控；3. 月度专项核查设备标识与实际状态一致性。</w:t>
      </w:r>
    </w:p>
    <w:p w14:paraId="47D95471">
      <w:pPr>
        <w:pStyle w:val="3"/>
        <w:keepNext w:val="0"/>
        <w:keepLines w:val="0"/>
        <w:widowControl/>
        <w:suppressLineNumbers w:val="0"/>
        <w:jc w:val="left"/>
        <w:rPr>
          <w:rFonts w:hint="eastAsia" w:ascii="宋体" w:hAnsi="宋体" w:eastAsia="宋体" w:cs="宋体"/>
        </w:rPr>
      </w:pPr>
    </w:p>
    <w:p w14:paraId="294816BB">
      <w:pPr>
        <w:pStyle w:val="3"/>
        <w:keepNext w:val="0"/>
        <w:keepLines w:val="0"/>
        <w:widowControl/>
        <w:suppressLineNumbers w:val="0"/>
        <w:jc w:val="left"/>
        <w:rPr>
          <w:rFonts w:hint="eastAsia" w:ascii="宋体" w:hAnsi="宋体" w:eastAsia="宋体" w:cs="宋体"/>
        </w:rPr>
      </w:pPr>
    </w:p>
    <w:p w14:paraId="0598A446">
      <w:pPr>
        <w:pStyle w:val="3"/>
        <w:keepNext w:val="0"/>
        <w:keepLines w:val="0"/>
        <w:widowControl/>
        <w:suppressLineNumbers w:val="0"/>
        <w:jc w:val="left"/>
        <w:rPr>
          <w:rFonts w:hint="eastAsia" w:ascii="宋体" w:hAnsi="宋体" w:eastAsia="宋体" w:cs="宋体"/>
        </w:rPr>
      </w:pPr>
    </w:p>
    <w:p w14:paraId="07F84A19">
      <w:pPr>
        <w:pStyle w:val="3"/>
        <w:keepNext w:val="0"/>
        <w:keepLines w:val="0"/>
        <w:widowControl/>
        <w:suppressLineNumbers w:val="0"/>
        <w:jc w:val="left"/>
        <w:rPr>
          <w:rFonts w:hint="eastAsia" w:ascii="宋体" w:hAnsi="宋体" w:eastAsia="宋体" w:cs="宋体"/>
        </w:rPr>
      </w:pPr>
    </w:p>
    <w:p w14:paraId="035A4F0C">
      <w:pPr>
        <w:pStyle w:val="3"/>
        <w:keepNext w:val="0"/>
        <w:keepLines w:val="0"/>
        <w:widowControl/>
        <w:suppressLineNumbers w:val="0"/>
        <w:jc w:val="left"/>
        <w:rPr>
          <w:rFonts w:hint="eastAsia" w:ascii="宋体" w:hAnsi="宋体" w:eastAsia="宋体" w:cs="宋体"/>
        </w:rPr>
      </w:pPr>
    </w:p>
    <w:p w14:paraId="01FB1770">
      <w:pPr>
        <w:pStyle w:val="3"/>
        <w:keepNext w:val="0"/>
        <w:keepLines w:val="0"/>
        <w:widowControl/>
        <w:suppressLineNumbers w:val="0"/>
        <w:jc w:val="left"/>
        <w:rPr>
          <w:rFonts w:hint="eastAsia" w:ascii="宋体" w:hAnsi="宋体" w:eastAsia="宋体" w:cs="宋体"/>
        </w:rPr>
      </w:pPr>
    </w:p>
    <w:p w14:paraId="2A49B77A">
      <w:pPr>
        <w:pStyle w:val="3"/>
        <w:keepNext w:val="0"/>
        <w:keepLines w:val="0"/>
        <w:widowControl/>
        <w:suppressLineNumbers w:val="0"/>
        <w:jc w:val="left"/>
        <w:rPr>
          <w:rFonts w:hint="eastAsia" w:ascii="宋体" w:hAnsi="宋体" w:eastAsia="宋体" w:cs="宋体"/>
        </w:rPr>
      </w:pPr>
      <w:r>
        <w:rPr>
          <w:rFonts w:hint="eastAsia" w:ascii="宋体" w:hAnsi="宋体" w:eastAsia="宋体" w:cs="宋体"/>
        </w:rPr>
        <w:t>模块四 物料包装转运类（NCR056–NCR070）</w:t>
      </w:r>
    </w:p>
    <w:p w14:paraId="644EC159">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【NCR056】敏感料普通袋包装</w:t>
      </w:r>
    </w:p>
    <w:p w14:paraId="7B5FF2F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：车间IC芯片、精密元器件、PCBA半成品等静电敏感物料，违规使用普通绝缘塑料袋包装，无防静电屏蔽、泄放能力，转运、存放过程易累积静电、感应放电击穿物料。</w:t>
      </w:r>
    </w:p>
    <w:p w14:paraId="7CD2E5C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6.2 静电敏感物料包装防护要求</w:t>
      </w:r>
    </w:p>
    <w:p w14:paraId="10BC3A2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6.2 敏感元器件防静电包装规范</w:t>
      </w:r>
    </w:p>
    <w:p w14:paraId="7EAB38C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43AA23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：立即回收所有普通袋包装的敏感物料，全部更换为合规防静电屏蔽袋、防静电周转盒，重新分类防护存放，暂停普通袋包装作业。</w:t>
      </w:r>
    </w:p>
    <w:p w14:paraId="5EED841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员工ESD物料防护意识薄弱，为便利混用普通包装材料；2. 现场未分区存放防静电包装与普通包装，取用混乱；3. 物料包装稽查管控不严，违规包装未及时拦截。</w:t>
      </w:r>
    </w:p>
    <w:p w14:paraId="6CFBCC2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明确静电敏感物料必须使用专用防静电包装，严禁普通绝缘袋包装；2. 包装材料分区定置存放，张贴醒目区分标识；3. 将物料包装合规性纳入进料、制程、出库全环节稽查。</w:t>
      </w:r>
    </w:p>
    <w:p w14:paraId="420A5AF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：所有敏感物料均更换为合规防静电包装，现场无普通袋包裹敏感料问题，包装防护达标。</w:t>
      </w:r>
    </w:p>
    <w:p w14:paraId="3B6651F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：常态化核查物料包装合规性，杜绝混装、错用包装材料问题。</w:t>
      </w:r>
    </w:p>
    <w:p w14:paraId="45E58F7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：物料包装管控闭环，隐患清零，可结案。</w:t>
      </w:r>
    </w:p>
    <w:p w14:paraId="625F8DF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：普通塑料袋为高绝缘材质，摩擦极易产生高压静电且无法泄放，敏感物料全程处于静电高危环境，是制程隐性不良、偶发击穿的核心诱因，批量流转会造成大范围质量隐患。</w:t>
      </w:r>
    </w:p>
    <w:p w14:paraId="718073A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工位仅存放防静电专用包装，移除所有普通绝缘包装；2. 新员工开展物料包装专项ESD培训；3. 包装违规纳入班组绩效考核，强化执行。</w:t>
      </w:r>
    </w:p>
    <w:p w14:paraId="25ACDF67">
      <w:pPr>
        <w:pStyle w:val="4"/>
        <w:keepNext w:val="0"/>
        <w:keepLines w:val="0"/>
        <w:widowControl/>
        <w:suppressLineNumbers w:val="0"/>
        <w:jc w:val="left"/>
        <w:rPr>
          <w:rFonts w:hint="eastAsia" w:ascii="宋体" w:hAnsi="宋体" w:eastAsia="宋体" w:cs="宋体"/>
        </w:rPr>
      </w:pPr>
    </w:p>
    <w:p w14:paraId="526FD4FA">
      <w:pPr>
        <w:pStyle w:val="4"/>
        <w:keepNext w:val="0"/>
        <w:keepLines w:val="0"/>
        <w:widowControl/>
        <w:suppressLineNumbers w:val="0"/>
        <w:jc w:val="left"/>
        <w:rPr>
          <w:rFonts w:hint="eastAsia" w:ascii="宋体" w:hAnsi="宋体" w:eastAsia="宋体" w:cs="宋体"/>
        </w:rPr>
      </w:pPr>
    </w:p>
    <w:p w14:paraId="72A5AB97">
      <w:pPr>
        <w:pStyle w:val="4"/>
        <w:keepNext w:val="0"/>
        <w:keepLines w:val="0"/>
        <w:widowControl/>
        <w:suppressLineNumbers w:val="0"/>
        <w:jc w:val="left"/>
        <w:rPr>
          <w:rFonts w:hint="eastAsia" w:ascii="宋体" w:hAnsi="宋体" w:eastAsia="宋体" w:cs="宋体"/>
        </w:rPr>
      </w:pPr>
    </w:p>
    <w:p w14:paraId="1B7FC123">
      <w:pPr>
        <w:pStyle w:val="4"/>
        <w:keepNext w:val="0"/>
        <w:keepLines w:val="0"/>
        <w:widowControl/>
        <w:suppressLineNumbers w:val="0"/>
        <w:jc w:val="left"/>
        <w:rPr>
          <w:rFonts w:hint="eastAsia" w:ascii="宋体" w:hAnsi="宋体" w:eastAsia="宋体" w:cs="宋体"/>
        </w:rPr>
      </w:pPr>
    </w:p>
    <w:p w14:paraId="47C5A98E">
      <w:pPr>
        <w:pStyle w:val="4"/>
        <w:keepNext w:val="0"/>
        <w:keepLines w:val="0"/>
        <w:widowControl/>
        <w:suppressLineNumbers w:val="0"/>
        <w:jc w:val="left"/>
        <w:rPr>
          <w:rFonts w:hint="eastAsia" w:ascii="宋体" w:hAnsi="宋体" w:eastAsia="宋体" w:cs="宋体"/>
        </w:rPr>
      </w:pPr>
    </w:p>
    <w:p w14:paraId="5B29B1FE">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【NCR057】屏蔽袋未规范封口</w:t>
      </w:r>
    </w:p>
    <w:p w14:paraId="4C58B1F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：物料包装作业中，防静电屏蔽袋装入敏感物料后未完全封口、敞口存放转运，屏蔽袋无法形成闭合防护空间，外界静电场、粉尘干扰物料，防护效能失效。</w:t>
      </w:r>
    </w:p>
    <w:p w14:paraId="5A13373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6.3 防静电包装密闭防护要求</w:t>
      </w:r>
    </w:p>
    <w:p w14:paraId="3E1A60E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6.3 屏蔽袋密闭转运防护规范</w:t>
      </w:r>
    </w:p>
    <w:p w14:paraId="22BBFD0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630AFE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：立即对所有敞口屏蔽袋物料重新规范封口，逐袋检查密闭状态，未封口物料禁止流转、入库。</w:t>
      </w:r>
    </w:p>
    <w:p w14:paraId="6CF064A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员工作业习惯不规范，为取料便利省略封口工序；2. 包装SOP未明确封口标准与检查要求；3. 转运前无包装合规检查环节，漏检频发。</w:t>
      </w:r>
    </w:p>
    <w:p w14:paraId="0E4BC06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修订包装作业SOP，明确屏蔽袋必须完全封口、整齐密封；2. 增设物料包装自检、互检环节，封口不合格禁止流转；3. 日常巡检重点核查屏蔽袋密闭状态，严查敞口违规。</w:t>
      </w:r>
    </w:p>
    <w:p w14:paraId="53DEAEF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：全域物料屏蔽袋均规范密闭封口，防护空间完整，静电屏蔽效能达标。</w:t>
      </w:r>
    </w:p>
    <w:p w14:paraId="21FB56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：固化封口作业标准，常态化巡检，杜绝敞口包装流转。</w:t>
      </w:r>
    </w:p>
    <w:p w14:paraId="7691283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：包装防护流程合规，风险闭环，可结案。</w:t>
      </w:r>
    </w:p>
    <w:p w14:paraId="51016F4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：防静电屏蔽袋依靠闭合屏蔽层实现静电隔离，敞口状态等同于无防护，外界浮动静电场可直接作用于内部元器件，同时易吸附粉尘杂质，引发电性不良与外观缺陷，属于高频重复性违规隐患。</w:t>
      </w:r>
    </w:p>
    <w:p w14:paraId="6D22CD8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统一使用封口贴、扎带标准化封口，保证密封性一致；2. 转运工装张贴封口检查警示标识；3. 批量包装后逐托抽检封口合规性。</w:t>
      </w:r>
    </w:p>
    <w:p w14:paraId="2DB10697">
      <w:pPr>
        <w:pStyle w:val="4"/>
        <w:keepNext w:val="0"/>
        <w:keepLines w:val="0"/>
        <w:widowControl/>
        <w:suppressLineNumbers w:val="0"/>
        <w:jc w:val="left"/>
        <w:rPr>
          <w:rFonts w:hint="eastAsia" w:ascii="宋体" w:hAnsi="宋体" w:eastAsia="宋体" w:cs="宋体"/>
        </w:rPr>
      </w:pPr>
    </w:p>
    <w:p w14:paraId="7AB5C2C1">
      <w:pPr>
        <w:pStyle w:val="4"/>
        <w:keepNext w:val="0"/>
        <w:keepLines w:val="0"/>
        <w:widowControl/>
        <w:suppressLineNumbers w:val="0"/>
        <w:jc w:val="left"/>
        <w:rPr>
          <w:rFonts w:hint="eastAsia" w:ascii="宋体" w:hAnsi="宋体" w:eastAsia="宋体" w:cs="宋体"/>
        </w:rPr>
      </w:pPr>
    </w:p>
    <w:p w14:paraId="6056B00F">
      <w:pPr>
        <w:pStyle w:val="4"/>
        <w:keepNext w:val="0"/>
        <w:keepLines w:val="0"/>
        <w:widowControl/>
        <w:suppressLineNumbers w:val="0"/>
        <w:jc w:val="left"/>
        <w:rPr>
          <w:rFonts w:hint="eastAsia" w:ascii="宋体" w:hAnsi="宋体" w:eastAsia="宋体" w:cs="宋体"/>
        </w:rPr>
      </w:pPr>
    </w:p>
    <w:p w14:paraId="485A7B43">
      <w:pPr>
        <w:pStyle w:val="4"/>
        <w:keepNext w:val="0"/>
        <w:keepLines w:val="0"/>
        <w:widowControl/>
        <w:suppressLineNumbers w:val="0"/>
        <w:jc w:val="left"/>
        <w:rPr>
          <w:rFonts w:hint="eastAsia" w:ascii="宋体" w:hAnsi="宋体" w:eastAsia="宋体" w:cs="宋体"/>
        </w:rPr>
      </w:pPr>
    </w:p>
    <w:p w14:paraId="44BE1564">
      <w:pPr>
        <w:pStyle w:val="4"/>
        <w:keepNext w:val="0"/>
        <w:keepLines w:val="0"/>
        <w:widowControl/>
        <w:suppressLineNumbers w:val="0"/>
        <w:jc w:val="left"/>
        <w:rPr>
          <w:rFonts w:hint="eastAsia" w:ascii="宋体" w:hAnsi="宋体" w:eastAsia="宋体" w:cs="宋体"/>
        </w:rPr>
      </w:pPr>
    </w:p>
    <w:p w14:paraId="08E0C2F1">
      <w:pPr>
        <w:pStyle w:val="4"/>
        <w:keepNext w:val="0"/>
        <w:keepLines w:val="0"/>
        <w:widowControl/>
        <w:suppressLineNumbers w:val="0"/>
        <w:jc w:val="left"/>
        <w:rPr>
          <w:rFonts w:hint="eastAsia" w:ascii="宋体" w:hAnsi="宋体" w:eastAsia="宋体" w:cs="宋体"/>
        </w:rPr>
      </w:pPr>
    </w:p>
    <w:p w14:paraId="3C2F41EE">
      <w:pPr>
        <w:pStyle w:val="4"/>
        <w:keepNext w:val="0"/>
        <w:keepLines w:val="0"/>
        <w:widowControl/>
        <w:suppressLineNumbers w:val="0"/>
        <w:jc w:val="left"/>
        <w:rPr>
          <w:rFonts w:hint="eastAsia" w:ascii="宋体" w:hAnsi="宋体" w:eastAsia="宋体" w:cs="宋体"/>
        </w:rPr>
      </w:pPr>
    </w:p>
    <w:p w14:paraId="2DC381ED">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【NCR058】周转开口未密封</w:t>
      </w:r>
    </w:p>
    <w:p w14:paraId="073B607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：防静电周转箱、周转盒物料取放口、预留开口未做密封处理，转运、静置过程中开口裸露，外部静电、粉尘持续侵入，破坏物料防护环境。</w:t>
      </w:r>
    </w:p>
    <w:p w14:paraId="3F37FFB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6.3 物料周转容器密闭防护要求</w:t>
      </w:r>
    </w:p>
    <w:p w14:paraId="4F9F36C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6.3 ESD周转容器密闭管控规范</w:t>
      </w:r>
    </w:p>
    <w:p w14:paraId="32978C7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889A1F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：立即对所有敞口周转容器进行密封封堵，采用合规防静电密封盖、密封贴封闭开口，整改完成后方可继续转运使用。</w:t>
      </w:r>
    </w:p>
    <w:p w14:paraId="1B0EF56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周转容器使用规范缺失，未明确开口密封要求；2. 员工作业随意，取料后未及时闭合密封；3. 周转物料点检仅核查物料，忽略容器密闭状态。</w:t>
      </w:r>
    </w:p>
    <w:p w14:paraId="3F279BA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完善周转容器作业SOP，明确全程密闭、取料即封标准；2. 为所有周转容器配套专用密封配件，杜绝无防护敞口；3. 将容器密闭状态纳入物料转运必检项。</w:t>
      </w:r>
    </w:p>
    <w:p w14:paraId="17E031C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：所有周转容器开口全部规范密封，防护密闭性达标，无裸露敞口问题。</w:t>
      </w:r>
    </w:p>
    <w:p w14:paraId="202155C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：作业全程落实密闭管控，转运前后核查密封状态，常态化稽查。</w:t>
      </w:r>
    </w:p>
    <w:p w14:paraId="4176833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：周转容器防护合规，隐患闭环，可结案。</w:t>
      </w:r>
    </w:p>
    <w:p w14:paraId="35ABC0D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：周转容器开口裸露会形成持续静电渗透通道，车间浮动静电场可直接作用于内部敏感物料，长期静置、转运过程中易产生累积静电损伤，同时粉尘堆积会引发焊接不良、接触不良等衍生质量问题。</w:t>
      </w:r>
    </w:p>
    <w:p w14:paraId="18A8721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老旧无密封配件周转箱统一更换升级；2. 制定周转容器点检表，专项核查密封完整性；3. 物料转运实行“密闭放行、敞口禁止”红线管理。</w:t>
      </w:r>
    </w:p>
    <w:p w14:paraId="029D3311">
      <w:pPr>
        <w:pStyle w:val="4"/>
        <w:keepNext w:val="0"/>
        <w:keepLines w:val="0"/>
        <w:widowControl/>
        <w:suppressLineNumbers w:val="0"/>
        <w:jc w:val="left"/>
        <w:rPr>
          <w:rFonts w:hint="eastAsia" w:ascii="宋体" w:hAnsi="宋体" w:eastAsia="宋体" w:cs="宋体"/>
        </w:rPr>
      </w:pPr>
    </w:p>
    <w:p w14:paraId="483EA941">
      <w:pPr>
        <w:pStyle w:val="4"/>
        <w:keepNext w:val="0"/>
        <w:keepLines w:val="0"/>
        <w:widowControl/>
        <w:suppressLineNumbers w:val="0"/>
        <w:jc w:val="left"/>
        <w:rPr>
          <w:rFonts w:hint="eastAsia" w:ascii="宋体" w:hAnsi="宋体" w:eastAsia="宋体" w:cs="宋体"/>
        </w:rPr>
      </w:pPr>
    </w:p>
    <w:p w14:paraId="48EBFBE8">
      <w:pPr>
        <w:pStyle w:val="4"/>
        <w:keepNext w:val="0"/>
        <w:keepLines w:val="0"/>
        <w:widowControl/>
        <w:suppressLineNumbers w:val="0"/>
        <w:jc w:val="left"/>
        <w:rPr>
          <w:rFonts w:hint="eastAsia" w:ascii="宋体" w:hAnsi="宋体" w:eastAsia="宋体" w:cs="宋体"/>
        </w:rPr>
      </w:pPr>
    </w:p>
    <w:p w14:paraId="27EED72C">
      <w:pPr>
        <w:pStyle w:val="4"/>
        <w:keepNext w:val="0"/>
        <w:keepLines w:val="0"/>
        <w:widowControl/>
        <w:suppressLineNumbers w:val="0"/>
        <w:jc w:val="left"/>
        <w:rPr>
          <w:rFonts w:hint="eastAsia" w:ascii="宋体" w:hAnsi="宋体" w:eastAsia="宋体" w:cs="宋体"/>
        </w:rPr>
      </w:pPr>
    </w:p>
    <w:p w14:paraId="1C372EC7">
      <w:pPr>
        <w:pStyle w:val="4"/>
        <w:keepNext w:val="0"/>
        <w:keepLines w:val="0"/>
        <w:widowControl/>
        <w:suppressLineNumbers w:val="0"/>
        <w:jc w:val="left"/>
        <w:rPr>
          <w:rFonts w:hint="eastAsia" w:ascii="宋体" w:hAnsi="宋体" w:eastAsia="宋体" w:cs="宋体"/>
        </w:rPr>
      </w:pPr>
    </w:p>
    <w:p w14:paraId="3D4E7227">
      <w:pPr>
        <w:pStyle w:val="4"/>
        <w:keepNext w:val="0"/>
        <w:keepLines w:val="0"/>
        <w:widowControl/>
        <w:suppressLineNumbers w:val="0"/>
        <w:jc w:val="left"/>
        <w:rPr>
          <w:rFonts w:hint="eastAsia" w:ascii="宋体" w:hAnsi="宋体" w:eastAsia="宋体" w:cs="宋体"/>
        </w:rPr>
      </w:pPr>
    </w:p>
    <w:p w14:paraId="712704EF">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【NCR059】纸板直接接触PCBA</w:t>
      </w:r>
    </w:p>
    <w:p w14:paraId="7B50FFE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：生产周转过程中，普通纸质纸板、纸箱直接贴合、隔离、垫放PCBA电路板，纸质材料为高绝缘材质，摩擦易产生高压静电，直接接触敏感板材存在放电击穿风险。</w:t>
      </w:r>
    </w:p>
    <w:p w14:paraId="44FC023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6.2 敏感物料绝缘隔离禁止要求</w:t>
      </w:r>
    </w:p>
    <w:p w14:paraId="0DAE748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6.2 绝缘介质接触敏感器件管控规范</w:t>
      </w:r>
    </w:p>
    <w:p w14:paraId="3844C9A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C0ED1A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：立即移除所有直接接触PCBA的纸质板材，更换防静电隔板、导电泡棉隔离，全面清理现场纸质接触物料的违规作业。</w:t>
      </w:r>
    </w:p>
    <w:p w14:paraId="4F5F95B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员工不了解纸质材料静电风险，习惯性使用纸板隔离物料；2. 现场未配置足量合规防静电隔离辅料；3. 物料隔离作业无ESD管控标准，稽查缺失。</w:t>
      </w:r>
    </w:p>
    <w:p w14:paraId="4F1BD55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明确禁止所有普通纸质、木质绝缘材料直接接触静电敏感物料；2. 统一配备防静电隔板、导电泡棉、隔离垫作为专用隔离辅料；3. 定期核查工位隔离材料合规性，杜绝绝缘介质接触物料。</w:t>
      </w:r>
    </w:p>
    <w:p w14:paraId="01846D9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：全域PCBA物料均采用合规防静电隔离材料，无纸板直接接触问题，隔离防护达标。</w:t>
      </w:r>
    </w:p>
    <w:p w14:paraId="324FFA6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：固化隔离作业标准，常态化排查违规绝缘辅料使用问题。</w:t>
      </w:r>
    </w:p>
    <w:p w14:paraId="691FDA0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：物料隔离管控合规，风险清零，可结案。</w:t>
      </w:r>
    </w:p>
    <w:p w14:paraId="7E91C83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：普通纸板摩擦起电电压极高，且无静电泄放通道，贴合PCBA板面时极易对芯片、线路引脚产生瞬时静电冲击，多为隐性不可逆损伤，成品测试、终端使用阶段才会暴露失效问题，追溯难度极大。</w:t>
      </w:r>
    </w:p>
    <w:p w14:paraId="52F671E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工位全面清退普通纸质隔离材料，统一标准化辅料；2. 开展绝缘材料ESD风险专项培训；3. 将物料隔离合规性纳入制程巡检重点项。</w:t>
      </w:r>
    </w:p>
    <w:p w14:paraId="4412D506">
      <w:pPr>
        <w:pStyle w:val="4"/>
        <w:keepNext w:val="0"/>
        <w:keepLines w:val="0"/>
        <w:widowControl/>
        <w:suppressLineNumbers w:val="0"/>
        <w:jc w:val="left"/>
        <w:rPr>
          <w:rFonts w:hint="eastAsia" w:ascii="宋体" w:hAnsi="宋体" w:eastAsia="宋体" w:cs="宋体"/>
        </w:rPr>
      </w:pPr>
    </w:p>
    <w:p w14:paraId="4867C4F7">
      <w:pPr>
        <w:pStyle w:val="4"/>
        <w:keepNext w:val="0"/>
        <w:keepLines w:val="0"/>
        <w:widowControl/>
        <w:suppressLineNumbers w:val="0"/>
        <w:jc w:val="left"/>
        <w:rPr>
          <w:rFonts w:hint="eastAsia" w:ascii="宋体" w:hAnsi="宋体" w:eastAsia="宋体" w:cs="宋体"/>
        </w:rPr>
      </w:pPr>
    </w:p>
    <w:p w14:paraId="545BDE52">
      <w:pPr>
        <w:pStyle w:val="4"/>
        <w:keepNext w:val="0"/>
        <w:keepLines w:val="0"/>
        <w:widowControl/>
        <w:suppressLineNumbers w:val="0"/>
        <w:jc w:val="left"/>
        <w:rPr>
          <w:rFonts w:hint="eastAsia" w:ascii="宋体" w:hAnsi="宋体" w:eastAsia="宋体" w:cs="宋体"/>
        </w:rPr>
      </w:pPr>
    </w:p>
    <w:p w14:paraId="02EA96C9">
      <w:pPr>
        <w:pStyle w:val="4"/>
        <w:keepNext w:val="0"/>
        <w:keepLines w:val="0"/>
        <w:widowControl/>
        <w:suppressLineNumbers w:val="0"/>
        <w:jc w:val="left"/>
        <w:rPr>
          <w:rFonts w:hint="eastAsia" w:ascii="宋体" w:hAnsi="宋体" w:eastAsia="宋体" w:cs="宋体"/>
        </w:rPr>
      </w:pPr>
    </w:p>
    <w:p w14:paraId="03FAE3F1">
      <w:pPr>
        <w:pStyle w:val="4"/>
        <w:keepNext w:val="0"/>
        <w:keepLines w:val="0"/>
        <w:widowControl/>
        <w:suppressLineNumbers w:val="0"/>
        <w:jc w:val="left"/>
        <w:rPr>
          <w:rFonts w:hint="eastAsia" w:ascii="宋体" w:hAnsi="宋体" w:eastAsia="宋体" w:cs="宋体"/>
        </w:rPr>
      </w:pPr>
    </w:p>
    <w:p w14:paraId="274D01F1">
      <w:pPr>
        <w:pStyle w:val="4"/>
        <w:keepNext w:val="0"/>
        <w:keepLines w:val="0"/>
        <w:widowControl/>
        <w:suppressLineNumbers w:val="0"/>
        <w:jc w:val="left"/>
        <w:rPr>
          <w:rFonts w:hint="eastAsia" w:ascii="宋体" w:hAnsi="宋体" w:eastAsia="宋体" w:cs="宋体"/>
        </w:rPr>
      </w:pPr>
    </w:p>
    <w:p w14:paraId="53D0D7FB">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【NCR060】周转箱防静电性能衰减</w:t>
      </w:r>
    </w:p>
    <w:p w14:paraId="663A904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：现场在用部分防静电周转箱长期使用、磨损老化，表面电阻检测超标，防静电、导电性能衰减失效，无法正常泄放静电，失去防护作用。</w:t>
      </w:r>
    </w:p>
    <w:p w14:paraId="2720C1F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6.3 防静电周转容器持续性能要求</w:t>
      </w:r>
    </w:p>
    <w:p w14:paraId="04E2D36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6.3 ESD周转器具性能运维规范</w:t>
      </w:r>
    </w:p>
    <w:p w14:paraId="4F29940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FE6D5F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：立即隔离所有性能衰减、电阻超标的周转箱，禁止盛装敏感物料，更换合格周转箱投入使用，对异常器具统一归集待检。</w:t>
      </w:r>
    </w:p>
    <w:p w14:paraId="1A376A6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周转箱长期摩擦、磕碰、老化导致表层导电涂层损耗；2. 无周转箱周期性性能检测机制，性能衰减无法及时发现；3. 老旧器具未及时报废更新，超期服役。</w:t>
      </w:r>
    </w:p>
    <w:p w14:paraId="5574382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建立周转箱台账，标注投入使用时间、检测记录、报废周期；2. 落实季度周转箱电阻抽检，超标、老化立即报废更换；3. 明确老化、性能衰减器具禁止用于敏感物料周转。</w:t>
      </w:r>
    </w:p>
    <w:p w14:paraId="4BC4D47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：所有在用周转箱电阻检测全部达标，防静电性能稳定，无失效器具上机使用。</w:t>
      </w:r>
    </w:p>
    <w:p w14:paraId="3973080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：常态化周期性检测，老旧器具按期报废，杜绝超期服役。</w:t>
      </w:r>
    </w:p>
    <w:p w14:paraId="29A5C3D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：周转器具性能管控闭环，隐患清零，可结案。</w:t>
      </w:r>
    </w:p>
    <w:p w14:paraId="1A20D25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：防静电周转箱依靠表层导电材质实现静电泄放，长期磨损、清洗、磕碰会逐步破坏导电结构，由导通状态转为绝缘状态。失效周转箱看似合规，实则全程累积静电，是批量隐性不良的重要源头。</w:t>
      </w:r>
    </w:p>
    <w:p w14:paraId="1DAC6D5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划分周转箱使用层级，新品、良品、待报废分类管控；2. 建立周转箱批量更换周期，提前预判老化失效；3. 避免强酸强碱清洗，保护表层导电性能。</w:t>
      </w:r>
    </w:p>
    <w:p w14:paraId="41BE20DD">
      <w:pPr>
        <w:pStyle w:val="4"/>
        <w:keepNext w:val="0"/>
        <w:keepLines w:val="0"/>
        <w:widowControl/>
        <w:suppressLineNumbers w:val="0"/>
        <w:jc w:val="left"/>
        <w:rPr>
          <w:rFonts w:hint="eastAsia" w:ascii="宋体" w:hAnsi="宋体" w:eastAsia="宋体" w:cs="宋体"/>
        </w:rPr>
      </w:pPr>
    </w:p>
    <w:p w14:paraId="17496D54">
      <w:pPr>
        <w:pStyle w:val="4"/>
        <w:keepNext w:val="0"/>
        <w:keepLines w:val="0"/>
        <w:widowControl/>
        <w:suppressLineNumbers w:val="0"/>
        <w:jc w:val="left"/>
        <w:rPr>
          <w:rFonts w:hint="eastAsia" w:ascii="宋体" w:hAnsi="宋体" w:eastAsia="宋体" w:cs="宋体"/>
        </w:rPr>
      </w:pPr>
    </w:p>
    <w:p w14:paraId="06709D3A">
      <w:pPr>
        <w:pStyle w:val="4"/>
        <w:keepNext w:val="0"/>
        <w:keepLines w:val="0"/>
        <w:widowControl/>
        <w:suppressLineNumbers w:val="0"/>
        <w:jc w:val="left"/>
        <w:rPr>
          <w:rFonts w:hint="eastAsia" w:ascii="宋体" w:hAnsi="宋体" w:eastAsia="宋体" w:cs="宋体"/>
        </w:rPr>
      </w:pPr>
    </w:p>
    <w:p w14:paraId="4F1E69DB">
      <w:pPr>
        <w:pStyle w:val="4"/>
        <w:keepNext w:val="0"/>
        <w:keepLines w:val="0"/>
        <w:widowControl/>
        <w:suppressLineNumbers w:val="0"/>
        <w:jc w:val="left"/>
        <w:rPr>
          <w:rFonts w:hint="eastAsia" w:ascii="宋体" w:hAnsi="宋体" w:eastAsia="宋体" w:cs="宋体"/>
        </w:rPr>
      </w:pPr>
    </w:p>
    <w:p w14:paraId="2AB732B5">
      <w:pPr>
        <w:pStyle w:val="4"/>
        <w:keepNext w:val="0"/>
        <w:keepLines w:val="0"/>
        <w:widowControl/>
        <w:suppressLineNumbers w:val="0"/>
        <w:jc w:val="left"/>
        <w:rPr>
          <w:rFonts w:hint="eastAsia" w:ascii="宋体" w:hAnsi="宋体" w:eastAsia="宋体" w:cs="宋体"/>
        </w:rPr>
      </w:pPr>
    </w:p>
    <w:p w14:paraId="2FF1E502">
      <w:pPr>
        <w:pStyle w:val="4"/>
        <w:keepNext w:val="0"/>
        <w:keepLines w:val="0"/>
        <w:widowControl/>
        <w:suppressLineNumbers w:val="0"/>
        <w:jc w:val="left"/>
        <w:rPr>
          <w:rFonts w:hint="eastAsia" w:ascii="宋体" w:hAnsi="宋体" w:eastAsia="宋体" w:cs="宋体"/>
        </w:rPr>
      </w:pPr>
    </w:p>
    <w:p w14:paraId="3377F5EB">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【NCR061】真空物料无ESD标识</w:t>
      </w:r>
    </w:p>
    <w:p w14:paraId="6775614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：真空封装的静电敏感物料、裸片元器件外包装无任何ESD警示标识、敏感物料标识，作业人员无法识别物料防静电等级，易出现违规操作、混放混用问题。</w:t>
      </w:r>
    </w:p>
    <w:p w14:paraId="250602E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6.1 敏感物料防静电标识要求</w:t>
      </w:r>
    </w:p>
    <w:p w14:paraId="0AD5E1B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6.1 静电敏感器件标识可视化规范</w:t>
      </w:r>
    </w:p>
    <w:p w14:paraId="35CAA7A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297AEB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：立即对所有无标识真空物料补贴ESD敏感警示标识，单独分区存放，重点管控，杜绝误操作。</w:t>
      </w:r>
    </w:p>
    <w:p w14:paraId="76A4E4A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来料包装未标配ESD标识，入库验收未核查标识完整性；2. 物料分装、真空复封后未重新补打标识；3. 无敏感物料标识专项核查机制。</w:t>
      </w:r>
    </w:p>
    <w:p w14:paraId="0CB3174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明确所有真空封装敏感物料必须标配ESD警示标识，无标识不予入库；2. 物料分装、复封后即时补打对应标识；3. 将物料ESD标识纳入进料检验、仓储巡检必查项。</w:t>
      </w:r>
    </w:p>
    <w:p w14:paraId="68142F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：所有真空敏感物料均张贴完整ESD标识，标识清晰、分类明确，无无标识物料留存。</w:t>
      </w:r>
    </w:p>
    <w:p w14:paraId="1CC4733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：来料验收、分装流转全程核查标识，缺失即时补全。</w:t>
      </w:r>
    </w:p>
    <w:p w14:paraId="05CD430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：物料标识管控合规，体系闭环，可结案。</w:t>
      </w:r>
    </w:p>
    <w:p w14:paraId="46A5DA5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：ESD警示标识是物料风险识别的核心目视依据，无标识会导致全员忽视静电防护要求，出现裸手接触、普通包装、跨区存放等违规操作，长期累积批量质量隐患，同时不符合审厂可视化管控要求。</w:t>
      </w:r>
    </w:p>
    <w:p w14:paraId="7773A8B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统一标准ESD警示贴纸，规范张贴位置与样式；2. 建立无标识物料拒收机制，从源头管控；3. 仓储分区张贴对应物料防护等级标识。</w:t>
      </w:r>
    </w:p>
    <w:p w14:paraId="2F71AD71">
      <w:pPr>
        <w:pStyle w:val="4"/>
        <w:keepNext w:val="0"/>
        <w:keepLines w:val="0"/>
        <w:widowControl/>
        <w:suppressLineNumbers w:val="0"/>
        <w:jc w:val="left"/>
        <w:rPr>
          <w:rFonts w:hint="eastAsia" w:ascii="宋体" w:hAnsi="宋体" w:eastAsia="宋体" w:cs="宋体"/>
        </w:rPr>
      </w:pPr>
    </w:p>
    <w:p w14:paraId="5886F19D">
      <w:pPr>
        <w:pStyle w:val="4"/>
        <w:keepNext w:val="0"/>
        <w:keepLines w:val="0"/>
        <w:widowControl/>
        <w:suppressLineNumbers w:val="0"/>
        <w:jc w:val="left"/>
        <w:rPr>
          <w:rFonts w:hint="eastAsia" w:ascii="宋体" w:hAnsi="宋体" w:eastAsia="宋体" w:cs="宋体"/>
        </w:rPr>
      </w:pPr>
    </w:p>
    <w:p w14:paraId="166CED73">
      <w:pPr>
        <w:pStyle w:val="4"/>
        <w:keepNext w:val="0"/>
        <w:keepLines w:val="0"/>
        <w:widowControl/>
        <w:suppressLineNumbers w:val="0"/>
        <w:jc w:val="left"/>
        <w:rPr>
          <w:rFonts w:hint="eastAsia" w:ascii="宋体" w:hAnsi="宋体" w:eastAsia="宋体" w:cs="宋体"/>
        </w:rPr>
      </w:pPr>
    </w:p>
    <w:p w14:paraId="46A71FBE">
      <w:pPr>
        <w:pStyle w:val="4"/>
        <w:keepNext w:val="0"/>
        <w:keepLines w:val="0"/>
        <w:widowControl/>
        <w:suppressLineNumbers w:val="0"/>
        <w:jc w:val="left"/>
        <w:rPr>
          <w:rFonts w:hint="eastAsia" w:ascii="宋体" w:hAnsi="宋体" w:eastAsia="宋体" w:cs="宋体"/>
        </w:rPr>
      </w:pPr>
    </w:p>
    <w:p w14:paraId="7A542410">
      <w:pPr>
        <w:pStyle w:val="4"/>
        <w:keepNext w:val="0"/>
        <w:keepLines w:val="0"/>
        <w:widowControl/>
        <w:suppressLineNumbers w:val="0"/>
        <w:jc w:val="left"/>
        <w:rPr>
          <w:rFonts w:hint="eastAsia" w:ascii="宋体" w:hAnsi="宋体" w:eastAsia="宋体" w:cs="宋体"/>
        </w:rPr>
      </w:pPr>
    </w:p>
    <w:p w14:paraId="1B0520C0">
      <w:pPr>
        <w:pStyle w:val="4"/>
        <w:keepNext w:val="0"/>
        <w:keepLines w:val="0"/>
        <w:widowControl/>
        <w:suppressLineNumbers w:val="0"/>
        <w:jc w:val="left"/>
        <w:rPr>
          <w:rFonts w:hint="eastAsia" w:ascii="宋体" w:hAnsi="宋体" w:eastAsia="宋体" w:cs="宋体"/>
        </w:rPr>
      </w:pPr>
    </w:p>
    <w:p w14:paraId="0D1F10E4">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【NCR062】托盘直接接触金属车底</w:t>
      </w:r>
    </w:p>
    <w:p w14:paraId="674333F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：防静电物料托盘直接放置于金属转运车车体底部，托盘与裸金属直接接触，转运过程中摩擦、震动产生电位差，易引发瞬时静电放电损伤物料。</w:t>
      </w:r>
    </w:p>
    <w:p w14:paraId="637F8EF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6.3 物料转运等电位防护要求</w:t>
      </w:r>
    </w:p>
    <w:p w14:paraId="3998AF2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6.3 转运器具等电位隔离规范</w:t>
      </w:r>
    </w:p>
    <w:p w14:paraId="446BDBD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74A5C2F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：立即在金属车底铺设防静电隔离垫、导电缓冲垫，所有物料托盘禁止直接接触裸金属车体，整改后再开展转运作业。</w:t>
      </w:r>
    </w:p>
    <w:p w14:paraId="4EB4B80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转运作业无托盘隔离标准，作业流程缺失；2. 转运车未标配防静电隔离防护配件；3. 转运过程巡检未核查托盘放置状态。</w:t>
      </w:r>
    </w:p>
    <w:p w14:paraId="2C70F53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修订转运SOP，明确托盘与金属车体必须做防静电隔离；2. 所有转运车统一标配固定防静电隔离垫，常态化使用；3. 将托盘隔离状态纳入转运作业点检项。</w:t>
      </w:r>
    </w:p>
    <w:p w14:paraId="6F5E474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：所有转运车均完成隔离防护改造，托盘无直接接触裸金属问题，电位差放电风险清零。</w:t>
      </w:r>
    </w:p>
    <w:p w14:paraId="0746D65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：转运作业全程落实隔离标准，定期核查隔离垫完好性。</w:t>
      </w:r>
    </w:p>
    <w:p w14:paraId="3491E06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：物料转运防护合规，风险闭环，可结案。</w:t>
      </w:r>
    </w:p>
    <w:p w14:paraId="3258C3A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：金属车体为导体，转运过程中震动摩擦会产生浮动电位，防静电托盘承载敏感物料后直接接触金属，会形成不等电位放电回路，瞬时高压静电会击穿低耐压元器件，属于转运环节高频隐蔽隐患。</w:t>
      </w:r>
    </w:p>
    <w:p w14:paraId="35D5AE2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隔离垫固定张贴，防止移位脱落；2. 转运车定期清洁，避免粉尘影响导通隔离性能；3. 新转运车入场同步配套防静电隔离配置。</w:t>
      </w:r>
    </w:p>
    <w:p w14:paraId="0ED4CFEA">
      <w:pPr>
        <w:pStyle w:val="4"/>
        <w:keepNext w:val="0"/>
        <w:keepLines w:val="0"/>
        <w:widowControl/>
        <w:suppressLineNumbers w:val="0"/>
        <w:jc w:val="left"/>
        <w:rPr>
          <w:rFonts w:hint="eastAsia" w:ascii="宋体" w:hAnsi="宋体" w:eastAsia="宋体" w:cs="宋体"/>
        </w:rPr>
      </w:pPr>
    </w:p>
    <w:p w14:paraId="517C94DF">
      <w:pPr>
        <w:pStyle w:val="4"/>
        <w:keepNext w:val="0"/>
        <w:keepLines w:val="0"/>
        <w:widowControl/>
        <w:suppressLineNumbers w:val="0"/>
        <w:jc w:val="left"/>
        <w:rPr>
          <w:rFonts w:hint="eastAsia" w:ascii="宋体" w:hAnsi="宋体" w:eastAsia="宋体" w:cs="宋体"/>
        </w:rPr>
      </w:pPr>
    </w:p>
    <w:p w14:paraId="0C0256F1">
      <w:pPr>
        <w:pStyle w:val="4"/>
        <w:keepNext w:val="0"/>
        <w:keepLines w:val="0"/>
        <w:widowControl/>
        <w:suppressLineNumbers w:val="0"/>
        <w:jc w:val="left"/>
        <w:rPr>
          <w:rFonts w:hint="eastAsia" w:ascii="宋体" w:hAnsi="宋体" w:eastAsia="宋体" w:cs="宋体"/>
        </w:rPr>
      </w:pPr>
    </w:p>
    <w:p w14:paraId="32BC2B06">
      <w:pPr>
        <w:pStyle w:val="4"/>
        <w:keepNext w:val="0"/>
        <w:keepLines w:val="0"/>
        <w:widowControl/>
        <w:suppressLineNumbers w:val="0"/>
        <w:jc w:val="left"/>
        <w:rPr>
          <w:rFonts w:hint="eastAsia" w:ascii="宋体" w:hAnsi="宋体" w:eastAsia="宋体" w:cs="宋体"/>
        </w:rPr>
      </w:pPr>
    </w:p>
    <w:p w14:paraId="5B08D65B">
      <w:pPr>
        <w:pStyle w:val="4"/>
        <w:keepNext w:val="0"/>
        <w:keepLines w:val="0"/>
        <w:widowControl/>
        <w:suppressLineNumbers w:val="0"/>
        <w:jc w:val="left"/>
        <w:rPr>
          <w:rFonts w:hint="eastAsia" w:ascii="宋体" w:hAnsi="宋体" w:eastAsia="宋体" w:cs="宋体"/>
        </w:rPr>
      </w:pPr>
    </w:p>
    <w:p w14:paraId="2066505D">
      <w:pPr>
        <w:pStyle w:val="4"/>
        <w:keepNext w:val="0"/>
        <w:keepLines w:val="0"/>
        <w:widowControl/>
        <w:suppressLineNumbers w:val="0"/>
        <w:jc w:val="left"/>
        <w:rPr>
          <w:rFonts w:hint="eastAsia" w:ascii="宋体" w:hAnsi="宋体" w:eastAsia="宋体" w:cs="宋体"/>
        </w:rPr>
      </w:pPr>
    </w:p>
    <w:p w14:paraId="19A60B18">
      <w:pPr>
        <w:pStyle w:val="4"/>
        <w:keepNext w:val="0"/>
        <w:keepLines w:val="0"/>
        <w:widowControl/>
        <w:suppressLineNumbers w:val="0"/>
        <w:jc w:val="left"/>
        <w:rPr>
          <w:rFonts w:hint="eastAsia" w:ascii="宋体" w:hAnsi="宋体" w:eastAsia="宋体" w:cs="宋体"/>
        </w:rPr>
      </w:pPr>
    </w:p>
    <w:p w14:paraId="385046D7">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【NCR063】气泡袋无检测报告</w:t>
      </w:r>
    </w:p>
    <w:p w14:paraId="6A08499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：现场使用的防静电气泡袋无有效防静电性能检测报告、材质验证资料，无法确认材料防静电指标合规性，物料防护性能无依据可追溯。</w:t>
      </w:r>
    </w:p>
    <w:p w14:paraId="1964A8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6.2 防静电辅料资质溯源要求</w:t>
      </w:r>
    </w:p>
    <w:p w14:paraId="4623D90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6.2 包装辅料性能溯源规范</w:t>
      </w:r>
    </w:p>
    <w:p w14:paraId="2C88358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585220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：临时停用无检测报告的气泡袋，封存待验，启用有完整资质报告的合规辅料，保障物料防护有效性。</w:t>
      </w:r>
    </w:p>
    <w:p w14:paraId="38D7FC8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辅料采购未要求供应商提供性能检测报告；2. 入库验收仅核查外观数量，缺失资质资料审核；3. 无包装辅料资质台账，资料管控缺失。</w:t>
      </w:r>
    </w:p>
    <w:p w14:paraId="316A760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固化辅料采购标准，防静电气泡袋必须随货附带有效检测报告；2. 入库增设资质审核环节，无报告不予验收入库；3. 建立包装辅料资质台账，统一归档留存。</w:t>
      </w:r>
    </w:p>
    <w:p w14:paraId="23C4699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：在用气泡袋均附带有效防静电检测报告，资质齐全、性能可追溯，合规达标。</w:t>
      </w:r>
    </w:p>
    <w:p w14:paraId="6231C4B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：辅料入库严格审核资质资料，定期复盘辅料合规性。</w:t>
      </w:r>
    </w:p>
    <w:p w14:paraId="6D8E449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：包装辅料资质管控闭环，体系合规，可结案。</w:t>
      </w:r>
    </w:p>
    <w:p w14:paraId="7947A87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：市面普通气泡袋为纯绝缘材质，无任何防静电能力，混用极易引发静电不良。无检测报告意味着辅料性能无法验证，存在以次充好、普通绝缘辅料替代防静电辅料的重大风险，属于源头管控漏洞。</w:t>
      </w:r>
    </w:p>
    <w:p w14:paraId="379E540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固定合格供应商，稳定辅料品质；2. 每批次辅料抽检复测性能，验证报告真实性；3. 资质报告电子化归档，方便审厂查阅。</w:t>
      </w:r>
    </w:p>
    <w:p w14:paraId="79745E71">
      <w:pPr>
        <w:pStyle w:val="4"/>
        <w:keepNext w:val="0"/>
        <w:keepLines w:val="0"/>
        <w:widowControl/>
        <w:suppressLineNumbers w:val="0"/>
        <w:jc w:val="left"/>
        <w:rPr>
          <w:rFonts w:hint="eastAsia" w:ascii="宋体" w:hAnsi="宋体" w:eastAsia="宋体" w:cs="宋体"/>
        </w:rPr>
      </w:pPr>
    </w:p>
    <w:p w14:paraId="08961F2B">
      <w:pPr>
        <w:pStyle w:val="4"/>
        <w:keepNext w:val="0"/>
        <w:keepLines w:val="0"/>
        <w:widowControl/>
        <w:suppressLineNumbers w:val="0"/>
        <w:jc w:val="left"/>
        <w:rPr>
          <w:rFonts w:hint="eastAsia" w:ascii="宋体" w:hAnsi="宋体" w:eastAsia="宋体" w:cs="宋体"/>
        </w:rPr>
      </w:pPr>
    </w:p>
    <w:p w14:paraId="5A65B5C4">
      <w:pPr>
        <w:pStyle w:val="4"/>
        <w:keepNext w:val="0"/>
        <w:keepLines w:val="0"/>
        <w:widowControl/>
        <w:suppressLineNumbers w:val="0"/>
        <w:jc w:val="left"/>
        <w:rPr>
          <w:rFonts w:hint="eastAsia" w:ascii="宋体" w:hAnsi="宋体" w:eastAsia="宋体" w:cs="宋体"/>
        </w:rPr>
      </w:pPr>
    </w:p>
    <w:p w14:paraId="4006BAFE">
      <w:pPr>
        <w:pStyle w:val="4"/>
        <w:keepNext w:val="0"/>
        <w:keepLines w:val="0"/>
        <w:widowControl/>
        <w:suppressLineNumbers w:val="0"/>
        <w:jc w:val="left"/>
        <w:rPr>
          <w:rFonts w:hint="eastAsia" w:ascii="宋体" w:hAnsi="宋体" w:eastAsia="宋体" w:cs="宋体"/>
        </w:rPr>
      </w:pPr>
    </w:p>
    <w:p w14:paraId="2810946C">
      <w:pPr>
        <w:pStyle w:val="4"/>
        <w:keepNext w:val="0"/>
        <w:keepLines w:val="0"/>
        <w:widowControl/>
        <w:suppressLineNumbers w:val="0"/>
        <w:jc w:val="left"/>
        <w:rPr>
          <w:rFonts w:hint="eastAsia" w:ascii="宋体" w:hAnsi="宋体" w:eastAsia="宋体" w:cs="宋体"/>
        </w:rPr>
      </w:pPr>
    </w:p>
    <w:p w14:paraId="18478693">
      <w:pPr>
        <w:pStyle w:val="4"/>
        <w:keepNext w:val="0"/>
        <w:keepLines w:val="0"/>
        <w:widowControl/>
        <w:suppressLineNumbers w:val="0"/>
        <w:jc w:val="left"/>
        <w:rPr>
          <w:rFonts w:hint="eastAsia" w:ascii="宋体" w:hAnsi="宋体" w:eastAsia="宋体" w:cs="宋体"/>
        </w:rPr>
      </w:pPr>
    </w:p>
    <w:p w14:paraId="3FB372E3">
      <w:pPr>
        <w:pStyle w:val="4"/>
        <w:keepNext w:val="0"/>
        <w:keepLines w:val="0"/>
        <w:widowControl/>
        <w:suppressLineNumbers w:val="0"/>
        <w:jc w:val="left"/>
        <w:rPr>
          <w:rFonts w:hint="eastAsia" w:ascii="宋体" w:hAnsi="宋体" w:eastAsia="宋体" w:cs="宋体"/>
        </w:rPr>
      </w:pPr>
    </w:p>
    <w:p w14:paraId="76E93977">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【NCR064】包装作业非EPA工位</w:t>
      </w:r>
    </w:p>
    <w:p w14:paraId="46C4F90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：部分物料分装、复封、打包作业在非EPA普通工位开展，无防静电台面、接地、离子风防护，作业环境静电不可控，包装过程易产生静电损伤。</w:t>
      </w:r>
    </w:p>
    <w:p w14:paraId="3B7A242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5.1 敏感作业必须在EPA区域开展要求</w:t>
      </w:r>
    </w:p>
    <w:p w14:paraId="1E5CBF1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5.1 静电敏感作业区域管控规范</w:t>
      </w:r>
    </w:p>
    <w:p w14:paraId="79E4DA0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148449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：立即停止所有非EPA区域物料包装作业，全部转移至合规EPA防静电工位开展，杜绝跨区作业。</w:t>
      </w:r>
    </w:p>
    <w:p w14:paraId="00ACC47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员工为分流产能，私自跨区开展包装作业；2. 作业区域划分与作业权限未明确宣导；3. 非EPA区域作业稽查管控不严，违规未及时制止。</w:t>
      </w:r>
    </w:p>
    <w:p w14:paraId="38C188A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明确所有敏感物料包装、分装作业仅限EPA区域开展，红线禁止跨区作业；2. 划分专属包装工位，固化作业区域；3. 加密非EPA区域巡检，严查违规静电作业。</w:t>
      </w:r>
    </w:p>
    <w:p w14:paraId="5507F62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：所有物料包装作业均在合规EPA工位完成，无跨区违规作业，作业环境静电可控。</w:t>
      </w:r>
    </w:p>
    <w:p w14:paraId="5BE65F2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：常态化区域作业稽查，杜绝私自跨区开展敏感作业。</w:t>
      </w:r>
    </w:p>
    <w:p w14:paraId="679F003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：作业区域管控合规，隐患闭环，可结案。</w:t>
      </w:r>
    </w:p>
    <w:p w14:paraId="6326361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：非EPA区域无防静电接地、泄放、中和设施，环境静电电位极高且不可控，物料包装过程频繁摩擦起电，是批量静电不良的高发场景，属于严重的流程违规与区域管控失效。</w:t>
      </w:r>
    </w:p>
    <w:p w14:paraId="265B00E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包装工位张贴专属作业区域标识与管控标准；2. 全员培训区域作业红线要求，强化合规意识；3. 跨区作业违规纳入严厉考核项。</w:t>
      </w:r>
    </w:p>
    <w:p w14:paraId="0D24D395">
      <w:pPr>
        <w:pStyle w:val="4"/>
        <w:keepNext w:val="0"/>
        <w:keepLines w:val="0"/>
        <w:widowControl/>
        <w:suppressLineNumbers w:val="0"/>
        <w:jc w:val="left"/>
        <w:rPr>
          <w:rFonts w:hint="eastAsia" w:ascii="宋体" w:hAnsi="宋体" w:eastAsia="宋体" w:cs="宋体"/>
        </w:rPr>
      </w:pPr>
    </w:p>
    <w:p w14:paraId="2015C72B">
      <w:pPr>
        <w:pStyle w:val="4"/>
        <w:keepNext w:val="0"/>
        <w:keepLines w:val="0"/>
        <w:widowControl/>
        <w:suppressLineNumbers w:val="0"/>
        <w:jc w:val="left"/>
        <w:rPr>
          <w:rFonts w:hint="eastAsia" w:ascii="宋体" w:hAnsi="宋体" w:eastAsia="宋体" w:cs="宋体"/>
        </w:rPr>
      </w:pPr>
    </w:p>
    <w:p w14:paraId="6C37EBF1">
      <w:pPr>
        <w:pStyle w:val="4"/>
        <w:keepNext w:val="0"/>
        <w:keepLines w:val="0"/>
        <w:widowControl/>
        <w:suppressLineNumbers w:val="0"/>
        <w:jc w:val="left"/>
        <w:rPr>
          <w:rFonts w:hint="eastAsia" w:ascii="宋体" w:hAnsi="宋体" w:eastAsia="宋体" w:cs="宋体"/>
        </w:rPr>
      </w:pPr>
    </w:p>
    <w:p w14:paraId="512E3DAB">
      <w:pPr>
        <w:pStyle w:val="4"/>
        <w:keepNext w:val="0"/>
        <w:keepLines w:val="0"/>
        <w:widowControl/>
        <w:suppressLineNumbers w:val="0"/>
        <w:jc w:val="left"/>
        <w:rPr>
          <w:rFonts w:hint="eastAsia" w:ascii="宋体" w:hAnsi="宋体" w:eastAsia="宋体" w:cs="宋体"/>
        </w:rPr>
      </w:pPr>
    </w:p>
    <w:p w14:paraId="18AC03A5">
      <w:pPr>
        <w:pStyle w:val="4"/>
        <w:keepNext w:val="0"/>
        <w:keepLines w:val="0"/>
        <w:widowControl/>
        <w:suppressLineNumbers w:val="0"/>
        <w:jc w:val="left"/>
        <w:rPr>
          <w:rFonts w:hint="eastAsia" w:ascii="宋体" w:hAnsi="宋体" w:eastAsia="宋体" w:cs="宋体"/>
        </w:rPr>
      </w:pPr>
    </w:p>
    <w:p w14:paraId="29CD20EF">
      <w:pPr>
        <w:pStyle w:val="4"/>
        <w:keepNext w:val="0"/>
        <w:keepLines w:val="0"/>
        <w:widowControl/>
        <w:suppressLineNumbers w:val="0"/>
        <w:jc w:val="left"/>
        <w:rPr>
          <w:rFonts w:hint="eastAsia" w:ascii="宋体" w:hAnsi="宋体" w:eastAsia="宋体" w:cs="宋体"/>
        </w:rPr>
      </w:pPr>
    </w:p>
    <w:p w14:paraId="1F808F2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【NCR065】屏蔽袋过大物料晃动</w:t>
      </w:r>
    </w:p>
    <w:p w14:paraId="6B72249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：选用规格偏大的防静电屏蔽袋包装小型敏感物料，袋内空间富余导致物料转运、晃动过程中频繁摩擦袋体，产生摩擦静电，同时易造成物料磕碰损伤。</w:t>
      </w:r>
    </w:p>
    <w:p w14:paraId="6863C3B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6.2 物料包装适配防护要求</w:t>
      </w:r>
    </w:p>
    <w:p w14:paraId="310128D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6.2 静电防护包装适配性规范</w:t>
      </w:r>
    </w:p>
    <w:p w14:paraId="00F5C72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76C0581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：立即更换适配规格屏蔽袋，对偏大包装物料重新分装，填充防静电缓冲辅料，杜绝物料晃动摩擦。</w:t>
      </w:r>
    </w:p>
    <w:p w14:paraId="175B1A2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包装耗材未按物料规格分类选配，随意取用；2. 无物料与包装规格适配标准，作业无依据；3. 包装完成后未核查贴合防护状态。</w:t>
      </w:r>
    </w:p>
    <w:p w14:paraId="69F3DF0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制定物料-包装规格适配对照表，按尺寸精准选配屏蔽袋；2. 不同规格包装耗材分类定置存放，方便精准取用；3. 包装后检查物料贴合状态，无大幅晃动为合格标准。</w:t>
      </w:r>
    </w:p>
    <w:p w14:paraId="416BA1C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：所有物料均使用适配规格屏蔽袋，物料固定稳固，无晃动摩擦问题，防护状态达标。</w:t>
      </w:r>
    </w:p>
    <w:p w14:paraId="00D72B5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：严格执行规格适配标准，常态化核查包装贴合状态。</w:t>
      </w:r>
    </w:p>
    <w:p w14:paraId="2766896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：物料包装适配管控闭环，风险清零，可结案。</w:t>
      </w:r>
    </w:p>
    <w:p w14:paraId="53ED815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：物料在屏蔽袋内晃动摩擦会持续产生摩擦静电，即便有屏蔽层防护，频繁静电累积与瞬时放电仍会损伤精密元器件，同时机械晃动易造成引脚变形、芯片磨损，引发电性与外观双重不良。</w:t>
      </w:r>
    </w:p>
    <w:p w14:paraId="4E0DCBE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小尺寸物料统一配套防静电缓冲棉固定；2. 耗材按物料型号定点摆放，减少错用概率；3. 新物料上线同步匹配对应包装规格。</w:t>
      </w:r>
    </w:p>
    <w:p w14:paraId="4F99A16F">
      <w:pPr>
        <w:pStyle w:val="4"/>
        <w:keepNext w:val="0"/>
        <w:keepLines w:val="0"/>
        <w:widowControl/>
        <w:suppressLineNumbers w:val="0"/>
        <w:jc w:val="left"/>
        <w:rPr>
          <w:rFonts w:hint="eastAsia" w:ascii="宋体" w:hAnsi="宋体" w:eastAsia="宋体" w:cs="宋体"/>
        </w:rPr>
      </w:pPr>
    </w:p>
    <w:p w14:paraId="65744E34">
      <w:pPr>
        <w:pStyle w:val="4"/>
        <w:keepNext w:val="0"/>
        <w:keepLines w:val="0"/>
        <w:widowControl/>
        <w:suppressLineNumbers w:val="0"/>
        <w:jc w:val="left"/>
        <w:rPr>
          <w:rFonts w:hint="eastAsia" w:ascii="宋体" w:hAnsi="宋体" w:eastAsia="宋体" w:cs="宋体"/>
        </w:rPr>
      </w:pPr>
    </w:p>
    <w:p w14:paraId="1D6682C8">
      <w:pPr>
        <w:pStyle w:val="4"/>
        <w:keepNext w:val="0"/>
        <w:keepLines w:val="0"/>
        <w:widowControl/>
        <w:suppressLineNumbers w:val="0"/>
        <w:jc w:val="left"/>
        <w:rPr>
          <w:rFonts w:hint="eastAsia" w:ascii="宋体" w:hAnsi="宋体" w:eastAsia="宋体" w:cs="宋体"/>
        </w:rPr>
      </w:pPr>
    </w:p>
    <w:p w14:paraId="471F1415">
      <w:pPr>
        <w:pStyle w:val="4"/>
        <w:keepNext w:val="0"/>
        <w:keepLines w:val="0"/>
        <w:widowControl/>
        <w:suppressLineNumbers w:val="0"/>
        <w:jc w:val="left"/>
        <w:rPr>
          <w:rFonts w:hint="eastAsia" w:ascii="宋体" w:hAnsi="宋体" w:eastAsia="宋体" w:cs="宋体"/>
        </w:rPr>
      </w:pPr>
    </w:p>
    <w:p w14:paraId="71B5B7AA">
      <w:pPr>
        <w:pStyle w:val="4"/>
        <w:keepNext w:val="0"/>
        <w:keepLines w:val="0"/>
        <w:widowControl/>
        <w:suppressLineNumbers w:val="0"/>
        <w:jc w:val="left"/>
        <w:rPr>
          <w:rFonts w:hint="eastAsia" w:ascii="宋体" w:hAnsi="宋体" w:eastAsia="宋体" w:cs="宋体"/>
        </w:rPr>
      </w:pPr>
    </w:p>
    <w:p w14:paraId="5A69DCAA">
      <w:pPr>
        <w:pStyle w:val="4"/>
        <w:keepNext w:val="0"/>
        <w:keepLines w:val="0"/>
        <w:widowControl/>
        <w:suppressLineNumbers w:val="0"/>
        <w:jc w:val="left"/>
        <w:rPr>
          <w:rFonts w:hint="eastAsia" w:ascii="宋体" w:hAnsi="宋体" w:eastAsia="宋体" w:cs="宋体"/>
        </w:rPr>
      </w:pPr>
    </w:p>
    <w:p w14:paraId="1B2AA1E8">
      <w:pPr>
        <w:pStyle w:val="4"/>
        <w:keepNext w:val="0"/>
        <w:keepLines w:val="0"/>
        <w:widowControl/>
        <w:suppressLineNumbers w:val="0"/>
        <w:jc w:val="left"/>
        <w:rPr>
          <w:rFonts w:hint="eastAsia" w:ascii="宋体" w:hAnsi="宋体" w:eastAsia="宋体" w:cs="宋体"/>
        </w:rPr>
      </w:pPr>
    </w:p>
    <w:p w14:paraId="50A5F0DC">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【NCR066】防静电与普通物料混装</w:t>
      </w:r>
    </w:p>
    <w:p w14:paraId="2A9044E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：转运、存放过程中，静电敏感防静电物料与普通绝缘物料、塑胶配件、辅料混装存放、同箱转运，绝缘物料摩擦产生静电，干扰损伤敏感物料。</w:t>
      </w:r>
    </w:p>
    <w:p w14:paraId="61411F3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6.1 敏感物料分类隔离存放要求</w:t>
      </w:r>
    </w:p>
    <w:p w14:paraId="5F9172A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6.1 静电敏感物料隔离管控规范</w:t>
      </w:r>
    </w:p>
    <w:p w14:paraId="5D19401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C4FA29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：立即拆分所有混装物料，将敏感物料、普通物料分类归集、单独存放转运，彻底杜绝混装问题。</w:t>
      </w:r>
    </w:p>
    <w:p w14:paraId="21A16E0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员工物料分类管控意识薄弱，贪图便利混装流转；2. 无物料分类存放、转运明确标准；3. 仓储、转运环节稽查不严，混装违规频发。</w:t>
      </w:r>
    </w:p>
    <w:p w14:paraId="45717B0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明确防静电敏感物料与普通物料必须分区、分箱、分车转运存放，严禁混装；2. 分类配置专属周转容器、转运车辆，专用专用；3. 将物料混装违规纳入日常稽查重点考核项。</w:t>
      </w:r>
    </w:p>
    <w:p w14:paraId="72830C2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：全域物料分类清晰、独立转运存放，无混装问题，静电隔离防护达标。</w:t>
      </w:r>
    </w:p>
    <w:p w14:paraId="3D83CAD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：常态化落实物料分类管控，严查混装、混放违规行为。</w:t>
      </w:r>
    </w:p>
    <w:p w14:paraId="3902E3B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：物料分类管控合规，隐患闭环，可结案。</w:t>
      </w:r>
    </w:p>
    <w:p w14:paraId="1369633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：普通塑胶、绝缘辅料摩擦起电量大、无泄放通道，与敏感物料混装会持续形成静电干扰场，长期存放转运极易引发元器件隐性击穿、参数漂移，是批次偶发不良的核心诱因之一。</w:t>
      </w:r>
    </w:p>
    <w:p w14:paraId="31F5D6B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周转箱、转运车颜色区分敏感/普通物料专用；2. 仓储区域物理隔离，张贴分类标识；3. 物料收发、转运逐托核查分类合规性。</w:t>
      </w:r>
    </w:p>
    <w:p w14:paraId="1E211563">
      <w:pPr>
        <w:pStyle w:val="4"/>
        <w:keepNext w:val="0"/>
        <w:keepLines w:val="0"/>
        <w:widowControl/>
        <w:suppressLineNumbers w:val="0"/>
        <w:jc w:val="left"/>
        <w:rPr>
          <w:rFonts w:hint="eastAsia" w:ascii="宋体" w:hAnsi="宋体" w:eastAsia="宋体" w:cs="宋体"/>
        </w:rPr>
      </w:pPr>
    </w:p>
    <w:p w14:paraId="196F632C">
      <w:pPr>
        <w:pStyle w:val="4"/>
        <w:keepNext w:val="0"/>
        <w:keepLines w:val="0"/>
        <w:widowControl/>
        <w:suppressLineNumbers w:val="0"/>
        <w:jc w:val="left"/>
        <w:rPr>
          <w:rFonts w:hint="eastAsia" w:ascii="宋体" w:hAnsi="宋体" w:eastAsia="宋体" w:cs="宋体"/>
        </w:rPr>
      </w:pPr>
    </w:p>
    <w:p w14:paraId="0B28D6D7">
      <w:pPr>
        <w:pStyle w:val="4"/>
        <w:keepNext w:val="0"/>
        <w:keepLines w:val="0"/>
        <w:widowControl/>
        <w:suppressLineNumbers w:val="0"/>
        <w:jc w:val="left"/>
        <w:rPr>
          <w:rFonts w:hint="eastAsia" w:ascii="宋体" w:hAnsi="宋体" w:eastAsia="宋体" w:cs="宋体"/>
        </w:rPr>
      </w:pPr>
    </w:p>
    <w:p w14:paraId="01BE1EA3">
      <w:pPr>
        <w:pStyle w:val="4"/>
        <w:keepNext w:val="0"/>
        <w:keepLines w:val="0"/>
        <w:widowControl/>
        <w:suppressLineNumbers w:val="0"/>
        <w:jc w:val="left"/>
        <w:rPr>
          <w:rFonts w:hint="eastAsia" w:ascii="宋体" w:hAnsi="宋体" w:eastAsia="宋体" w:cs="宋体"/>
        </w:rPr>
      </w:pPr>
    </w:p>
    <w:p w14:paraId="504C602B">
      <w:pPr>
        <w:pStyle w:val="4"/>
        <w:keepNext w:val="0"/>
        <w:keepLines w:val="0"/>
        <w:widowControl/>
        <w:suppressLineNumbers w:val="0"/>
        <w:jc w:val="left"/>
        <w:rPr>
          <w:rFonts w:hint="eastAsia" w:ascii="宋体" w:hAnsi="宋体" w:eastAsia="宋体" w:cs="宋体"/>
        </w:rPr>
      </w:pPr>
    </w:p>
    <w:p w14:paraId="0C27926B">
      <w:pPr>
        <w:pStyle w:val="4"/>
        <w:keepNext w:val="0"/>
        <w:keepLines w:val="0"/>
        <w:widowControl/>
        <w:suppressLineNumbers w:val="0"/>
        <w:jc w:val="left"/>
        <w:rPr>
          <w:rFonts w:hint="eastAsia" w:ascii="宋体" w:hAnsi="宋体" w:eastAsia="宋体" w:cs="宋体"/>
        </w:rPr>
      </w:pPr>
    </w:p>
    <w:p w14:paraId="05F605DF">
      <w:pPr>
        <w:pStyle w:val="4"/>
        <w:keepNext w:val="0"/>
        <w:keepLines w:val="0"/>
        <w:widowControl/>
        <w:suppressLineNumbers w:val="0"/>
        <w:jc w:val="left"/>
        <w:rPr>
          <w:rFonts w:hint="eastAsia" w:ascii="宋体" w:hAnsi="宋体" w:eastAsia="宋体" w:cs="宋体"/>
        </w:rPr>
      </w:pPr>
    </w:p>
    <w:p w14:paraId="7927E9C0">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【NCR067】废弃屏蔽袋混放垃圾</w:t>
      </w:r>
    </w:p>
    <w:p w14:paraId="491818F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：使用后的废弃、破损防静电屏蔽袋随意混入普通生活垃圾、生产废料中丢弃，废弃屏蔽袋残留静电、残留物料碎屑，存在二次静电风险与物料浪费问题。</w:t>
      </w:r>
    </w:p>
    <w:p w14:paraId="16C3DF3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6.4 防静电耗材废弃管控要求</w:t>
      </w:r>
    </w:p>
    <w:p w14:paraId="22CD2DE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6.4 ESD耗材废弃处置规范</w:t>
      </w:r>
    </w:p>
    <w:p w14:paraId="527C251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2DEDBE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：立即分拣所有混放废弃屏蔽袋，单独归集、集中处置，清理现场垃圾混放问题，临时禁止随意丢弃防静电耗材。</w:t>
      </w:r>
    </w:p>
    <w:p w14:paraId="25D4C4A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无ESD耗材废弃处置标准，作业无规范可依；2. 现场未设置专用废弃防静电耗材收纳容器；3. 员工随意丢弃，管控意识薄弱。</w:t>
      </w:r>
    </w:p>
    <w:p w14:paraId="0C4F583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制定防静电耗材废弃处置SOP，明确分类归集、集中报废流程；2. 工位、车间定点放置专用废弃ESD耗材收纳箱；3. 日常巡检严查耗材随意丢弃、混放垃圾行为。</w:t>
      </w:r>
    </w:p>
    <w:p w14:paraId="1B5279B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：废弃屏蔽袋全部单独归集处置，无垃圾混放问题，耗材废弃管控合规。</w:t>
      </w:r>
    </w:p>
    <w:p w14:paraId="1042C6D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：常态化落实耗材分类废弃要求，规范处置流程。</w:t>
      </w:r>
    </w:p>
    <w:p w14:paraId="7FE9372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：耗材废弃管控闭环，风险清零，可结案。</w:t>
      </w:r>
    </w:p>
    <w:p w14:paraId="4F677F7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：废弃屏蔽袋仍具备静电感应能力，混入普通垃圾后摩擦起电，散落的残留物料碎屑多为精密敏感元器件碎料，随意丢弃不仅造成物料损耗，还会在车间产生浮动静电隐患，破坏整体静电环境。</w:t>
      </w:r>
    </w:p>
    <w:p w14:paraId="319A46C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专用收纳箱张贴ESD耗材废弃专用标识；2. 定期集中统一报废，做好处置记录；3. 开展耗材规范处置专项宣导培训。</w:t>
      </w:r>
    </w:p>
    <w:p w14:paraId="79AD62EB">
      <w:pPr>
        <w:pStyle w:val="4"/>
        <w:keepNext w:val="0"/>
        <w:keepLines w:val="0"/>
        <w:widowControl/>
        <w:suppressLineNumbers w:val="0"/>
        <w:jc w:val="left"/>
        <w:rPr>
          <w:rFonts w:hint="eastAsia" w:ascii="宋体" w:hAnsi="宋体" w:eastAsia="宋体" w:cs="宋体"/>
        </w:rPr>
      </w:pPr>
    </w:p>
    <w:p w14:paraId="7CC2A3EA">
      <w:pPr>
        <w:pStyle w:val="4"/>
        <w:keepNext w:val="0"/>
        <w:keepLines w:val="0"/>
        <w:widowControl/>
        <w:suppressLineNumbers w:val="0"/>
        <w:jc w:val="left"/>
        <w:rPr>
          <w:rFonts w:hint="eastAsia" w:ascii="宋体" w:hAnsi="宋体" w:eastAsia="宋体" w:cs="宋体"/>
        </w:rPr>
      </w:pPr>
    </w:p>
    <w:p w14:paraId="36337318">
      <w:pPr>
        <w:pStyle w:val="4"/>
        <w:keepNext w:val="0"/>
        <w:keepLines w:val="0"/>
        <w:widowControl/>
        <w:suppressLineNumbers w:val="0"/>
        <w:jc w:val="left"/>
        <w:rPr>
          <w:rFonts w:hint="eastAsia" w:ascii="宋体" w:hAnsi="宋体" w:eastAsia="宋体" w:cs="宋体"/>
        </w:rPr>
      </w:pPr>
    </w:p>
    <w:p w14:paraId="7FF16A3B">
      <w:pPr>
        <w:pStyle w:val="4"/>
        <w:keepNext w:val="0"/>
        <w:keepLines w:val="0"/>
        <w:widowControl/>
        <w:suppressLineNumbers w:val="0"/>
        <w:jc w:val="left"/>
        <w:rPr>
          <w:rFonts w:hint="eastAsia" w:ascii="宋体" w:hAnsi="宋体" w:eastAsia="宋体" w:cs="宋体"/>
        </w:rPr>
      </w:pPr>
    </w:p>
    <w:p w14:paraId="4EDD6BA8">
      <w:pPr>
        <w:pStyle w:val="4"/>
        <w:keepNext w:val="0"/>
        <w:keepLines w:val="0"/>
        <w:widowControl/>
        <w:suppressLineNumbers w:val="0"/>
        <w:jc w:val="left"/>
        <w:rPr>
          <w:rFonts w:hint="eastAsia" w:ascii="宋体" w:hAnsi="宋体" w:eastAsia="宋体" w:cs="宋体"/>
        </w:rPr>
      </w:pPr>
    </w:p>
    <w:p w14:paraId="714E5C3D">
      <w:pPr>
        <w:pStyle w:val="4"/>
        <w:keepNext w:val="0"/>
        <w:keepLines w:val="0"/>
        <w:widowControl/>
        <w:suppressLineNumbers w:val="0"/>
        <w:jc w:val="left"/>
        <w:rPr>
          <w:rFonts w:hint="eastAsia" w:ascii="宋体" w:hAnsi="宋体" w:eastAsia="宋体" w:cs="宋体"/>
        </w:rPr>
      </w:pPr>
    </w:p>
    <w:p w14:paraId="3C0893EA">
      <w:pPr>
        <w:pStyle w:val="4"/>
        <w:keepNext w:val="0"/>
        <w:keepLines w:val="0"/>
        <w:widowControl/>
        <w:suppressLineNumbers w:val="0"/>
        <w:jc w:val="left"/>
        <w:rPr>
          <w:rFonts w:hint="eastAsia" w:ascii="宋体" w:hAnsi="宋体" w:eastAsia="宋体" w:cs="宋体"/>
        </w:rPr>
      </w:pPr>
    </w:p>
    <w:p w14:paraId="3F73EFF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【NCR068】周转箱敞口转运</w:t>
      </w:r>
    </w:p>
    <w:p w14:paraId="6B379D8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：物料转运过程中，防静电周转箱全程敞口、无盖转运，路途摩擦、空气流动产生静电，粉尘异物落入箱内，造成物料静电损伤、污染不良。</w:t>
      </w:r>
    </w:p>
    <w:p w14:paraId="65BDD28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6.3 物料转运密闭防护要求</w:t>
      </w:r>
    </w:p>
    <w:p w14:paraId="6552713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6.3 周转转运全程防护规范</w:t>
      </w:r>
    </w:p>
    <w:p w14:paraId="601C929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19645E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：立即停止所有敞口周转作业，所有转运箱必须加盖密闭后方可转运，整改到位再恢复流转。</w:t>
      </w:r>
    </w:p>
    <w:p w14:paraId="53D4BB2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转运作业SOP未明确全程加盖密闭要求；2. 员工为取料便捷，习惯性敞口转运；3. 转运过程无监督稽查，违规常态化。</w:t>
      </w:r>
    </w:p>
    <w:p w14:paraId="24A9ECB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修订转运作业标准，明确“转运必加盖、敞口不流转”红线；2. 配齐所有周转箱专用盖子，杜绝无盖转运；3. 转运前后核查密闭状态，不合格禁止流转。</w:t>
      </w:r>
    </w:p>
    <w:p w14:paraId="70973A9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：所有物料周转箱全程加盖密闭转运，无敞口作业，防护状态合规。</w:t>
      </w:r>
    </w:p>
    <w:p w14:paraId="2F28D68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：固化密闭转运标准，常态化巡检，杜绝习惯性违规。</w:t>
      </w:r>
    </w:p>
    <w:p w14:paraId="56AA7B7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：转运作业管控合规，隐患闭环，可结案。</w:t>
      </w:r>
    </w:p>
    <w:p w14:paraId="7ECB23E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：敞口转运物料完全暴露在车间浮动静电场中，转运路途空气对流、箱体摩擦会持续产生静电，同时粉尘、毛絮、金属碎屑极易落入箱体，引发物料电性不良、焊接虚焊、短路等多重质量问题。</w:t>
      </w:r>
    </w:p>
    <w:p w14:paraId="2F077E4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周转箱盖子与箱体编号绑定，防止混用、缺失；2. 高峰期加密转运稽查频次，严控敞口作业；3. 将密闭转运纳入班组日常作业考核。</w:t>
      </w:r>
    </w:p>
    <w:p w14:paraId="2DF8E612">
      <w:pPr>
        <w:pStyle w:val="4"/>
        <w:keepNext w:val="0"/>
        <w:keepLines w:val="0"/>
        <w:widowControl/>
        <w:suppressLineNumbers w:val="0"/>
        <w:jc w:val="left"/>
        <w:rPr>
          <w:rFonts w:hint="eastAsia" w:ascii="宋体" w:hAnsi="宋体" w:eastAsia="宋体" w:cs="宋体"/>
        </w:rPr>
      </w:pPr>
    </w:p>
    <w:p w14:paraId="3070FFB3">
      <w:pPr>
        <w:pStyle w:val="4"/>
        <w:keepNext w:val="0"/>
        <w:keepLines w:val="0"/>
        <w:widowControl/>
        <w:suppressLineNumbers w:val="0"/>
        <w:jc w:val="left"/>
        <w:rPr>
          <w:rFonts w:hint="eastAsia" w:ascii="宋体" w:hAnsi="宋体" w:eastAsia="宋体" w:cs="宋体"/>
        </w:rPr>
      </w:pPr>
    </w:p>
    <w:p w14:paraId="571FD825">
      <w:pPr>
        <w:pStyle w:val="4"/>
        <w:keepNext w:val="0"/>
        <w:keepLines w:val="0"/>
        <w:widowControl/>
        <w:suppressLineNumbers w:val="0"/>
        <w:jc w:val="left"/>
        <w:rPr>
          <w:rFonts w:hint="eastAsia" w:ascii="宋体" w:hAnsi="宋体" w:eastAsia="宋体" w:cs="宋体"/>
        </w:rPr>
      </w:pPr>
    </w:p>
    <w:p w14:paraId="19F46125">
      <w:pPr>
        <w:pStyle w:val="4"/>
        <w:keepNext w:val="0"/>
        <w:keepLines w:val="0"/>
        <w:widowControl/>
        <w:suppressLineNumbers w:val="0"/>
        <w:jc w:val="left"/>
        <w:rPr>
          <w:rFonts w:hint="eastAsia" w:ascii="宋体" w:hAnsi="宋体" w:eastAsia="宋体" w:cs="宋体"/>
        </w:rPr>
      </w:pPr>
    </w:p>
    <w:p w14:paraId="5F8DCADB">
      <w:pPr>
        <w:pStyle w:val="4"/>
        <w:keepNext w:val="0"/>
        <w:keepLines w:val="0"/>
        <w:widowControl/>
        <w:suppressLineNumbers w:val="0"/>
        <w:jc w:val="left"/>
        <w:rPr>
          <w:rFonts w:hint="eastAsia" w:ascii="宋体" w:hAnsi="宋体" w:eastAsia="宋体" w:cs="宋体"/>
        </w:rPr>
      </w:pPr>
    </w:p>
    <w:p w14:paraId="347EC79E">
      <w:pPr>
        <w:pStyle w:val="4"/>
        <w:keepNext w:val="0"/>
        <w:keepLines w:val="0"/>
        <w:widowControl/>
        <w:suppressLineNumbers w:val="0"/>
        <w:jc w:val="left"/>
        <w:rPr>
          <w:rFonts w:hint="eastAsia" w:ascii="宋体" w:hAnsi="宋体" w:eastAsia="宋体" w:cs="宋体"/>
        </w:rPr>
      </w:pPr>
    </w:p>
    <w:p w14:paraId="7DBA60B2">
      <w:pPr>
        <w:pStyle w:val="4"/>
        <w:keepNext w:val="0"/>
        <w:keepLines w:val="0"/>
        <w:widowControl/>
        <w:suppressLineNumbers w:val="0"/>
        <w:jc w:val="left"/>
        <w:rPr>
          <w:rFonts w:hint="eastAsia" w:ascii="宋体" w:hAnsi="宋体" w:eastAsia="宋体" w:cs="宋体"/>
        </w:rPr>
      </w:pPr>
    </w:p>
    <w:p w14:paraId="1584D71D">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【NCR069】裸手接触屏蔽袋内层</w:t>
      </w:r>
    </w:p>
    <w:p w14:paraId="6FCF30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：员工作业过程中未佩戴合规防护手套，裸手直接触碰防静电屏蔽袋内层，手部汗液、油脂污染内层，同时人体静电直接传导至袋体及内部物料。</w:t>
      </w:r>
    </w:p>
    <w:p w14:paraId="069871F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7.2 人员接触敏感物料防护要求</w:t>
      </w:r>
    </w:p>
    <w:p w14:paraId="5173F6B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7.2 人员静电防护操作规范</w:t>
      </w:r>
    </w:p>
    <w:p w14:paraId="28FEBCB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CE3AEC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：立即制止裸手接触作业，要求全员佩戴防静电手套操作，对污染屏蔽袋及时更换清理，杜绝污染物料流转。</w:t>
      </w:r>
    </w:p>
    <w:p w14:paraId="0959783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员工防护作业习惯不规范，侥幸违规操作；2. 岗位操作规范未明确屏蔽袋内层禁止裸手接触；3. 现场作业监督不到位，违规操作未及时纠正。</w:t>
      </w:r>
    </w:p>
    <w:p w14:paraId="118B63E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明确屏蔽袋内层、敏感物料禁止裸手接触，必须佩戴防静电手套作业；2. 强化岗位操作培训，固化规范作业习惯；3. 现场实时稽查人员防护操作，违规即时整改问责。</w:t>
      </w:r>
    </w:p>
    <w:p w14:paraId="55557D5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：全员规范佩戴防护手套作业，无裸手接触屏蔽袋内层问题，物料防护达标。</w:t>
      </w:r>
    </w:p>
    <w:p w14:paraId="47744EF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：常态化监督人员防护操作，杜绝习惯性违规。</w:t>
      </w:r>
    </w:p>
    <w:p w14:paraId="1475DC2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：人员操作管控合规，风险闭环，可结案。</w:t>
      </w:r>
    </w:p>
    <w:p w14:paraId="601FB8A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：人体自带高压静电，且手部存在汗液油脂，裸手接触屏蔽袋内层不仅会直接传导静电损伤物料，还会造成袋体及物料污染，导致后续焊接不良、氧化失效，是制程基础违规高频隐患。</w:t>
      </w:r>
    </w:p>
    <w:p w14:paraId="2FEB0CE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工位张贴禁止裸手接触警示标识；2. 定时更换防护手套，避免手套污染失效；3. 新员工上岗重点培训接触类防护规范。</w:t>
      </w:r>
    </w:p>
    <w:p w14:paraId="6FF3AC75">
      <w:pPr>
        <w:pStyle w:val="4"/>
        <w:keepNext w:val="0"/>
        <w:keepLines w:val="0"/>
        <w:widowControl/>
        <w:suppressLineNumbers w:val="0"/>
        <w:jc w:val="left"/>
        <w:rPr>
          <w:rFonts w:hint="eastAsia" w:ascii="宋体" w:hAnsi="宋体" w:eastAsia="宋体" w:cs="宋体"/>
        </w:rPr>
      </w:pPr>
    </w:p>
    <w:p w14:paraId="009899B7">
      <w:pPr>
        <w:pStyle w:val="4"/>
        <w:keepNext w:val="0"/>
        <w:keepLines w:val="0"/>
        <w:widowControl/>
        <w:suppressLineNumbers w:val="0"/>
        <w:jc w:val="left"/>
        <w:rPr>
          <w:rFonts w:hint="eastAsia" w:ascii="宋体" w:hAnsi="宋体" w:eastAsia="宋体" w:cs="宋体"/>
        </w:rPr>
      </w:pPr>
    </w:p>
    <w:p w14:paraId="6EB8D608">
      <w:pPr>
        <w:pStyle w:val="4"/>
        <w:keepNext w:val="0"/>
        <w:keepLines w:val="0"/>
        <w:widowControl/>
        <w:suppressLineNumbers w:val="0"/>
        <w:jc w:val="left"/>
        <w:rPr>
          <w:rFonts w:hint="eastAsia" w:ascii="宋体" w:hAnsi="宋体" w:eastAsia="宋体" w:cs="宋体"/>
        </w:rPr>
      </w:pPr>
    </w:p>
    <w:p w14:paraId="270A6C21">
      <w:pPr>
        <w:pStyle w:val="4"/>
        <w:keepNext w:val="0"/>
        <w:keepLines w:val="0"/>
        <w:widowControl/>
        <w:suppressLineNumbers w:val="0"/>
        <w:jc w:val="left"/>
        <w:rPr>
          <w:rFonts w:hint="eastAsia" w:ascii="宋体" w:hAnsi="宋体" w:eastAsia="宋体" w:cs="宋体"/>
        </w:rPr>
      </w:pPr>
    </w:p>
    <w:p w14:paraId="53DEEB8D">
      <w:pPr>
        <w:pStyle w:val="4"/>
        <w:keepNext w:val="0"/>
        <w:keepLines w:val="0"/>
        <w:widowControl/>
        <w:suppressLineNumbers w:val="0"/>
        <w:jc w:val="left"/>
        <w:rPr>
          <w:rFonts w:hint="eastAsia" w:ascii="宋体" w:hAnsi="宋体" w:eastAsia="宋体" w:cs="宋体"/>
        </w:rPr>
      </w:pPr>
    </w:p>
    <w:p w14:paraId="249964A5">
      <w:pPr>
        <w:pStyle w:val="4"/>
        <w:keepNext w:val="0"/>
        <w:keepLines w:val="0"/>
        <w:widowControl/>
        <w:suppressLineNumbers w:val="0"/>
        <w:jc w:val="left"/>
        <w:rPr>
          <w:rFonts w:hint="eastAsia" w:ascii="宋体" w:hAnsi="宋体" w:eastAsia="宋体" w:cs="宋体"/>
        </w:rPr>
      </w:pPr>
    </w:p>
    <w:p w14:paraId="72F51A8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【NCR070】包装物料无进料检验</w:t>
      </w:r>
    </w:p>
    <w:p w14:paraId="6721314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：防静电屏蔽袋、周转箱、隔离辅料等包装ESD物料入库无专项进料检验，未核查防静电性能、外观、资质资料，不合格辅料直接投入生产使用。</w:t>
      </w:r>
    </w:p>
    <w:p w14:paraId="1D0E6B0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6.2 防静电辅料进料验证要求</w:t>
      </w:r>
    </w:p>
    <w:p w14:paraId="79CD6C6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6.2 ESD包装物料进料检验规范</w:t>
      </w:r>
    </w:p>
    <w:p w14:paraId="4A269EE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1C971C1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：立即对现有库存所有ESD包装辅料全检筛查，不合格物料隔离报废，合格物料留存使用，补齐检验记录。</w:t>
      </w:r>
    </w:p>
    <w:p w14:paraId="3D11CF1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IQC进料检验清单未覆盖ESD包装辅料，检验项目缺失；2. 无ESD辅料专项检验标准与检验流程；3. 采购入库未联动品质校验，源头管控缺失。</w:t>
      </w:r>
    </w:p>
    <w:p w14:paraId="0EE1937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新增ESD包装辅料专项进料检验标准，明确性能、外观、资质检验项目；2. 将所有防静电包装耗材纳入IQC必检清单；3. 无检验合格记录物料禁止入库、禁止上机使用。</w:t>
      </w:r>
    </w:p>
    <w:p w14:paraId="1012A2C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：库存辅料全检合格，进料检验流程完善，检验记录完整可追溯，源头管控达标。</w:t>
      </w:r>
    </w:p>
    <w:p w14:paraId="6130502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：严格落实进料全检机制，杜绝无检物料投入生产。</w:t>
      </w:r>
    </w:p>
    <w:p w14:paraId="63E38D8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：进料检验管控闭环，体系合规，可结案。</w:t>
      </w:r>
    </w:p>
    <w:p w14:paraId="28725FE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：包装辅料是物料防护的第一道屏障，无进料检验会导致劣质、绝缘、性能不达标的辅料直接上线，从源头破坏ESD防护体系，引发持续性、批量性静电不良，属于体系源头管控重大缺失。</w:t>
      </w:r>
    </w:p>
    <w:p w14:paraId="1082E8B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制定ESD辅料进料检验检查表，逐项核验；2. 每批次留样复测，验证批次稳定性；3. 不合格辅料建立退货、复盘机制。</w:t>
      </w:r>
    </w:p>
    <w:p w14:paraId="7483489B">
      <w:pPr>
        <w:pStyle w:val="3"/>
        <w:keepNext w:val="0"/>
        <w:keepLines w:val="0"/>
        <w:widowControl/>
        <w:suppressLineNumbers w:val="0"/>
        <w:jc w:val="left"/>
        <w:rPr>
          <w:rFonts w:hint="eastAsia" w:ascii="宋体" w:hAnsi="宋体" w:eastAsia="宋体" w:cs="宋体"/>
        </w:rPr>
      </w:pPr>
    </w:p>
    <w:p w14:paraId="64DFE35D">
      <w:pPr>
        <w:pStyle w:val="3"/>
        <w:keepNext w:val="0"/>
        <w:keepLines w:val="0"/>
        <w:widowControl/>
        <w:suppressLineNumbers w:val="0"/>
        <w:jc w:val="left"/>
        <w:rPr>
          <w:rFonts w:hint="eastAsia" w:ascii="宋体" w:hAnsi="宋体" w:eastAsia="宋体" w:cs="宋体"/>
        </w:rPr>
      </w:pPr>
    </w:p>
    <w:p w14:paraId="7C6902B1">
      <w:pPr>
        <w:pStyle w:val="3"/>
        <w:keepNext w:val="0"/>
        <w:keepLines w:val="0"/>
        <w:widowControl/>
        <w:suppressLineNumbers w:val="0"/>
        <w:jc w:val="left"/>
        <w:rPr>
          <w:rFonts w:hint="eastAsia" w:ascii="宋体" w:hAnsi="宋体" w:eastAsia="宋体" w:cs="宋体"/>
        </w:rPr>
      </w:pPr>
    </w:p>
    <w:p w14:paraId="171D1889">
      <w:pPr>
        <w:pStyle w:val="3"/>
        <w:keepNext w:val="0"/>
        <w:keepLines w:val="0"/>
        <w:widowControl/>
        <w:suppressLineNumbers w:val="0"/>
        <w:jc w:val="left"/>
        <w:rPr>
          <w:rFonts w:hint="eastAsia" w:ascii="宋体" w:hAnsi="宋体" w:eastAsia="宋体" w:cs="宋体"/>
        </w:rPr>
      </w:pPr>
    </w:p>
    <w:p w14:paraId="762976A5">
      <w:pPr>
        <w:pStyle w:val="3"/>
        <w:keepNext w:val="0"/>
        <w:keepLines w:val="0"/>
        <w:widowControl/>
        <w:suppressLineNumbers w:val="0"/>
        <w:jc w:val="left"/>
        <w:rPr>
          <w:rFonts w:hint="eastAsia" w:ascii="宋体" w:hAnsi="宋体" w:eastAsia="宋体" w:cs="宋体"/>
        </w:rPr>
      </w:pPr>
    </w:p>
    <w:p w14:paraId="114F7C72">
      <w:pPr>
        <w:pStyle w:val="3"/>
        <w:keepNext w:val="0"/>
        <w:keepLines w:val="0"/>
        <w:widowControl/>
        <w:suppressLineNumbers w:val="0"/>
        <w:jc w:val="left"/>
        <w:rPr>
          <w:rFonts w:hint="eastAsia" w:ascii="宋体" w:hAnsi="宋体" w:eastAsia="宋体" w:cs="宋体"/>
        </w:rPr>
      </w:pPr>
    </w:p>
    <w:p w14:paraId="11469C5A">
      <w:pPr>
        <w:pStyle w:val="3"/>
        <w:keepNext w:val="0"/>
        <w:keepLines w:val="0"/>
        <w:widowControl/>
        <w:suppressLineNumbers w:val="0"/>
        <w:jc w:val="left"/>
        <w:rPr>
          <w:rFonts w:hint="eastAsia" w:ascii="宋体" w:hAnsi="宋体" w:eastAsia="宋体" w:cs="宋体"/>
        </w:rPr>
      </w:pPr>
      <w:r>
        <w:rPr>
          <w:rFonts w:hint="eastAsia" w:ascii="宋体" w:hAnsi="宋体" w:eastAsia="宋体" w:cs="宋体"/>
        </w:rPr>
        <w:t>模块五 人员防护作业类（NCR071–NCR085）</w:t>
      </w:r>
    </w:p>
    <w:p w14:paraId="4379C05B">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【NCR071】未穿防静电服作业</w:t>
      </w:r>
    </w:p>
    <w:p w14:paraId="258FAE4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：部分员工、临时支援人员进入EPA防静电区域，未穿着专用防静电工作服，身着普通棉质、化纤衣物作业，衣物摩擦极易产生高压静电，带入静电风险。</w:t>
      </w:r>
    </w:p>
    <w:p w14:paraId="39EAA5B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7.1 人员防静电着装准入要求</w:t>
      </w:r>
    </w:p>
    <w:p w14:paraId="6A68DC0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7.1 作业人员静电防护着装规范</w:t>
      </w:r>
    </w:p>
    <w:p w14:paraId="2604268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87B8C8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：立即责令未着装人员停止作业，退出EPA区域，规范穿戴防静电服并检测合格后方可重新入区作业。</w:t>
      </w:r>
    </w:p>
    <w:p w14:paraId="4200ADC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员工防静电准入意识薄弱，心存侥幸违规入区；2. 车间入口着装管控不严，无准入核查环节；3. 日常现场稽查对人员着装违规查处力度不足。</w:t>
      </w:r>
    </w:p>
    <w:p w14:paraId="54BB925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明确EPA区域必须全员规范穿戴防静电服，无防护禁止入区作业；2. 车间入口增设人员着装目视核查岗，拦截违规人员；3. 将防静电着装纳入每日稽查与班组考核红线项。</w:t>
      </w:r>
    </w:p>
    <w:p w14:paraId="322DE7C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：全员规范穿着防静电服作业，无裸装、普通衣物入区问题，人员防护达标。</w:t>
      </w:r>
    </w:p>
    <w:p w14:paraId="4F8B9F9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：常态化核查入区人员着装合规性，严查违规准入。</w:t>
      </w:r>
    </w:p>
    <w:p w14:paraId="3FB9147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：人员着装防护管控闭环，隐患清零，可结案。</w:t>
      </w:r>
    </w:p>
    <w:p w14:paraId="1C289DB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：化纤、普通衣物摩擦起电电压可达数千至上万伏，远超精密元器件耐压阈值，未穿防静电服入区会持续向作业空间释放静电，是现场大范围静电污染、批量不良的主要人为诱因。</w:t>
      </w:r>
    </w:p>
    <w:p w14:paraId="2D159A7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划分人员着装违规严管区域，重点工位重点管控；2. 定期清洗防静电服，保证防护性能；3. 外来人员、支援人员统一配备临时防静电服。</w:t>
      </w:r>
    </w:p>
    <w:p w14:paraId="5D936C97">
      <w:pPr>
        <w:pStyle w:val="4"/>
        <w:keepNext w:val="0"/>
        <w:keepLines w:val="0"/>
        <w:widowControl/>
        <w:suppressLineNumbers w:val="0"/>
        <w:jc w:val="left"/>
        <w:rPr>
          <w:rFonts w:hint="eastAsia" w:ascii="宋体" w:hAnsi="宋体" w:eastAsia="宋体" w:cs="宋体"/>
        </w:rPr>
      </w:pPr>
    </w:p>
    <w:p w14:paraId="20CC2B7B">
      <w:pPr>
        <w:pStyle w:val="4"/>
        <w:keepNext w:val="0"/>
        <w:keepLines w:val="0"/>
        <w:widowControl/>
        <w:suppressLineNumbers w:val="0"/>
        <w:jc w:val="left"/>
        <w:rPr>
          <w:rFonts w:hint="eastAsia" w:ascii="宋体" w:hAnsi="宋体" w:eastAsia="宋体" w:cs="宋体"/>
        </w:rPr>
      </w:pPr>
    </w:p>
    <w:p w14:paraId="1373D7A3">
      <w:pPr>
        <w:pStyle w:val="4"/>
        <w:keepNext w:val="0"/>
        <w:keepLines w:val="0"/>
        <w:widowControl/>
        <w:suppressLineNumbers w:val="0"/>
        <w:jc w:val="left"/>
        <w:rPr>
          <w:rFonts w:hint="eastAsia" w:ascii="宋体" w:hAnsi="宋体" w:eastAsia="宋体" w:cs="宋体"/>
        </w:rPr>
      </w:pPr>
    </w:p>
    <w:p w14:paraId="184DFE53">
      <w:pPr>
        <w:pStyle w:val="4"/>
        <w:keepNext w:val="0"/>
        <w:keepLines w:val="0"/>
        <w:widowControl/>
        <w:suppressLineNumbers w:val="0"/>
        <w:jc w:val="left"/>
        <w:rPr>
          <w:rFonts w:hint="eastAsia" w:ascii="宋体" w:hAnsi="宋体" w:eastAsia="宋体" w:cs="宋体"/>
        </w:rPr>
      </w:pPr>
    </w:p>
    <w:p w14:paraId="2878345C">
      <w:pPr>
        <w:pStyle w:val="4"/>
        <w:keepNext w:val="0"/>
        <w:keepLines w:val="0"/>
        <w:widowControl/>
        <w:suppressLineNumbers w:val="0"/>
        <w:jc w:val="left"/>
        <w:rPr>
          <w:rFonts w:hint="eastAsia" w:ascii="宋体" w:hAnsi="宋体" w:eastAsia="宋体" w:cs="宋体"/>
        </w:rPr>
      </w:pPr>
    </w:p>
    <w:p w14:paraId="21BCC9D4">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【NCR072】佩戴普通橡胶手套接触IC</w:t>
      </w:r>
    </w:p>
    <w:p w14:paraId="7887A0C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：员工接触IC芯片、精密元器件时，违规佩戴普通橡胶绝缘手套，绝缘手套摩擦易累积高压静电，直接接触敏感物料极易造成放电击穿。</w:t>
      </w:r>
    </w:p>
    <w:p w14:paraId="460C86B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7.2 人员手部防静电防护要求</w:t>
      </w:r>
    </w:p>
    <w:p w14:paraId="0C41C3B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7.2 手部接触敏感器件防护规范</w:t>
      </w:r>
    </w:p>
    <w:p w14:paraId="0255DBF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0B8B48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：立即回收所有普通橡胶手套，禁止接触敏感物料使用，全员更换合规防静电手套作业。</w:t>
      </w:r>
    </w:p>
    <w:p w14:paraId="57E16A9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员工不了解普通手套静电风险，混用防护用具；2. 工位未标配足量防静电手套，导致员工私自替换；3. 手部防护用具使用规范宣导不到位。</w:t>
      </w:r>
    </w:p>
    <w:p w14:paraId="3DB4FA3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明确接触IC、精密元器件必须使用专用防静电手套，严禁绝缘手套作业；2. 工位足额配备合规防护手套，定点存放更换；3. 定期核查员工防护用具使用合规性。</w:t>
      </w:r>
    </w:p>
    <w:p w14:paraId="5B0FEEB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：全员统一使用防静电手套接触敏感物料，无普通绝缘手套混用问题，手部防护合规。</w:t>
      </w:r>
    </w:p>
    <w:p w14:paraId="418E933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：常态化管控防护用具选型与使用，杜绝违规混用。</w:t>
      </w:r>
    </w:p>
    <w:p w14:paraId="465A3BA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：手部防护管控闭环，风险清零，可结案。</w:t>
      </w:r>
    </w:p>
    <w:p w14:paraId="6C569E3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：普通橡胶手套为高绝缘材质，完全阻断静电泄放通道，手部摩擦静电持续累积无法释放，接触低耐压IC芯片时会产生瞬时静电击穿，多为不可逆隐性失效，不良追溯难度极高。</w:t>
      </w:r>
    </w:p>
    <w:p w14:paraId="3564961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工位禁止存放普通绝缘手套，从源头杜绝混用；2. 定期更换老化、破损防静电手套；3. 开展手部防护用具专项ESD培训。</w:t>
      </w:r>
    </w:p>
    <w:p w14:paraId="1597E6C1">
      <w:pPr>
        <w:pStyle w:val="4"/>
        <w:keepNext w:val="0"/>
        <w:keepLines w:val="0"/>
        <w:widowControl/>
        <w:suppressLineNumbers w:val="0"/>
        <w:jc w:val="left"/>
        <w:rPr>
          <w:rFonts w:hint="eastAsia" w:ascii="宋体" w:hAnsi="宋体" w:eastAsia="宋体" w:cs="宋体"/>
        </w:rPr>
      </w:pPr>
    </w:p>
    <w:p w14:paraId="066F28FD">
      <w:pPr>
        <w:pStyle w:val="4"/>
        <w:keepNext w:val="0"/>
        <w:keepLines w:val="0"/>
        <w:widowControl/>
        <w:suppressLineNumbers w:val="0"/>
        <w:jc w:val="left"/>
        <w:rPr>
          <w:rFonts w:hint="eastAsia" w:ascii="宋体" w:hAnsi="宋体" w:eastAsia="宋体" w:cs="宋体"/>
        </w:rPr>
      </w:pPr>
    </w:p>
    <w:p w14:paraId="6D7B5F6F">
      <w:pPr>
        <w:pStyle w:val="4"/>
        <w:keepNext w:val="0"/>
        <w:keepLines w:val="0"/>
        <w:widowControl/>
        <w:suppressLineNumbers w:val="0"/>
        <w:jc w:val="left"/>
        <w:rPr>
          <w:rFonts w:hint="eastAsia" w:ascii="宋体" w:hAnsi="宋体" w:eastAsia="宋体" w:cs="宋体"/>
        </w:rPr>
      </w:pPr>
    </w:p>
    <w:p w14:paraId="2E350981">
      <w:pPr>
        <w:pStyle w:val="4"/>
        <w:keepNext w:val="0"/>
        <w:keepLines w:val="0"/>
        <w:widowControl/>
        <w:suppressLineNumbers w:val="0"/>
        <w:jc w:val="left"/>
        <w:rPr>
          <w:rFonts w:hint="eastAsia" w:ascii="宋体" w:hAnsi="宋体" w:eastAsia="宋体" w:cs="宋体"/>
        </w:rPr>
      </w:pPr>
    </w:p>
    <w:p w14:paraId="233A5C21">
      <w:pPr>
        <w:pStyle w:val="4"/>
        <w:keepNext w:val="0"/>
        <w:keepLines w:val="0"/>
        <w:widowControl/>
        <w:suppressLineNumbers w:val="0"/>
        <w:jc w:val="left"/>
        <w:rPr>
          <w:rFonts w:hint="eastAsia" w:ascii="宋体" w:hAnsi="宋体" w:eastAsia="宋体" w:cs="宋体"/>
        </w:rPr>
      </w:pPr>
    </w:p>
    <w:p w14:paraId="50F56690">
      <w:pPr>
        <w:pStyle w:val="4"/>
        <w:keepNext w:val="0"/>
        <w:keepLines w:val="0"/>
        <w:widowControl/>
        <w:suppressLineNumbers w:val="0"/>
        <w:jc w:val="left"/>
        <w:rPr>
          <w:rFonts w:hint="eastAsia" w:ascii="宋体" w:hAnsi="宋体" w:eastAsia="宋体" w:cs="宋体"/>
        </w:rPr>
      </w:pPr>
    </w:p>
    <w:p w14:paraId="402E4C30">
      <w:pPr>
        <w:pStyle w:val="4"/>
        <w:keepNext w:val="0"/>
        <w:keepLines w:val="0"/>
        <w:widowControl/>
        <w:suppressLineNumbers w:val="0"/>
        <w:jc w:val="left"/>
        <w:rPr>
          <w:rFonts w:hint="eastAsia" w:ascii="宋体" w:hAnsi="宋体" w:eastAsia="宋体" w:cs="宋体"/>
        </w:rPr>
      </w:pPr>
    </w:p>
    <w:p w14:paraId="67F10D76">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【NCR073】手环佩戴不规范</w:t>
      </w:r>
    </w:p>
    <w:p w14:paraId="075CB5A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：部分员工防静电手环佩戴松动、悬空、未贴合皮肤，手环无法正常导走人体静电，防护功能失效，形同虚设。</w:t>
      </w:r>
    </w:p>
    <w:p w14:paraId="4649690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7.2 防静电手环规范佩戴与使用要求</w:t>
      </w:r>
    </w:p>
    <w:p w14:paraId="7582A97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7.2 人体静电手环使用规范</w:t>
      </w:r>
    </w:p>
    <w:p w14:paraId="283F5ED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B4C318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：立即整改所有不规范佩戴手环，全员重新贴合皮肤规范佩戴，现场核查佩戴状态，不合格禁止上岗作业。</w:t>
      </w:r>
    </w:p>
    <w:p w14:paraId="72BEF93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员工佩戴随意，为舒适忽略佩戴标准，作业习惯不规范；2. 新人未掌握标准佩戴方法，操作不熟练；3. 现场巡检仅核查是否佩戴，未核查佩戴规范性。</w:t>
      </w:r>
    </w:p>
    <w:p w14:paraId="4BB1BA9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明确手环紧贴皮肤、松紧适度的标准佩戴要求，张贴示范图；2. 新员工上岗必训手环佩戴规范，考核合格上岗；3. 日常巡检重点核查佩戴质量，不规范立即整改。</w:t>
      </w:r>
    </w:p>
    <w:p w14:paraId="5AFECF4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：全员手环佩戴规范、贴合皮肤，人体静电泄放通道通畅，防护有效。</w:t>
      </w:r>
    </w:p>
    <w:p w14:paraId="679405A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：常态化核查佩戴规范性，杜绝形式化佩戴、无效防护。</w:t>
      </w:r>
    </w:p>
    <w:p w14:paraId="3A55ABE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：手环佩戴管控合规，防护有效，可结案。</w:t>
      </w:r>
    </w:p>
    <w:p w14:paraId="68A30C6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：手环佩戴不贴合会导致人体静电泄放通道断开，人体持续累积高压静电，接触物料瞬间完成放电击穿，属于典型的“假防护”，现场隐患隐蔽性极强，是高频不良诱因。</w:t>
      </w:r>
    </w:p>
    <w:p w14:paraId="1741FBE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定期检查手环松紧度、弹力，老化及时更换；2. 班前全员自查互查佩戴状态；3. 将手环佩戴质量纳入岗位日常考核。</w:t>
      </w:r>
    </w:p>
    <w:p w14:paraId="25E5D698">
      <w:pPr>
        <w:rPr>
          <w:rFonts w:hint="eastAsia" w:ascii="宋体" w:hAnsi="宋体" w:eastAsia="宋体" w:cs="宋体"/>
        </w:rPr>
      </w:pPr>
    </w:p>
    <w:p w14:paraId="35B55D31">
      <w:pPr>
        <w:pStyle w:val="4"/>
        <w:keepNext w:val="0"/>
        <w:keepLines w:val="0"/>
        <w:widowControl/>
        <w:suppressLineNumbers w:val="0"/>
        <w:jc w:val="left"/>
        <w:rPr>
          <w:rFonts w:hint="eastAsia" w:ascii="宋体" w:hAnsi="宋体" w:eastAsia="宋体" w:cs="宋体"/>
        </w:rPr>
      </w:pPr>
    </w:p>
    <w:p w14:paraId="0DD4CBD0">
      <w:pPr>
        <w:pStyle w:val="4"/>
        <w:keepNext w:val="0"/>
        <w:keepLines w:val="0"/>
        <w:widowControl/>
        <w:suppressLineNumbers w:val="0"/>
        <w:jc w:val="left"/>
        <w:rPr>
          <w:rFonts w:hint="eastAsia" w:ascii="宋体" w:hAnsi="宋体" w:eastAsia="宋体" w:cs="宋体"/>
        </w:rPr>
      </w:pPr>
    </w:p>
    <w:p w14:paraId="127F2F3A">
      <w:pPr>
        <w:pStyle w:val="4"/>
        <w:keepNext w:val="0"/>
        <w:keepLines w:val="0"/>
        <w:widowControl/>
        <w:suppressLineNumbers w:val="0"/>
        <w:jc w:val="left"/>
        <w:rPr>
          <w:rFonts w:hint="eastAsia" w:ascii="宋体" w:hAnsi="宋体" w:eastAsia="宋体" w:cs="宋体"/>
        </w:rPr>
      </w:pPr>
    </w:p>
    <w:p w14:paraId="5FA90976">
      <w:pPr>
        <w:pStyle w:val="4"/>
        <w:keepNext w:val="0"/>
        <w:keepLines w:val="0"/>
        <w:widowControl/>
        <w:suppressLineNumbers w:val="0"/>
        <w:jc w:val="left"/>
        <w:rPr>
          <w:rFonts w:hint="eastAsia" w:ascii="宋体" w:hAnsi="宋体" w:eastAsia="宋体" w:cs="宋体"/>
        </w:rPr>
      </w:pPr>
    </w:p>
    <w:p w14:paraId="2F2C021E">
      <w:pPr>
        <w:pStyle w:val="4"/>
        <w:keepNext w:val="0"/>
        <w:keepLines w:val="0"/>
        <w:widowControl/>
        <w:suppressLineNumbers w:val="0"/>
        <w:jc w:val="left"/>
        <w:rPr>
          <w:rFonts w:hint="eastAsia" w:ascii="宋体" w:hAnsi="宋体" w:eastAsia="宋体" w:cs="宋体"/>
        </w:rPr>
      </w:pPr>
    </w:p>
    <w:p w14:paraId="5D2E92DC">
      <w:pPr>
        <w:pStyle w:val="4"/>
        <w:keepNext w:val="0"/>
        <w:keepLines w:val="0"/>
        <w:widowControl/>
        <w:suppressLineNumbers w:val="0"/>
        <w:jc w:val="left"/>
        <w:rPr>
          <w:rFonts w:hint="eastAsia" w:ascii="宋体" w:hAnsi="宋体" w:eastAsia="宋体" w:cs="宋体"/>
        </w:rPr>
      </w:pPr>
    </w:p>
    <w:p w14:paraId="5A48659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【NCR074】私自拆除手环接地夹</w:t>
      </w:r>
    </w:p>
    <w:p w14:paraId="553005C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：作业人员在岗位作业期间，私自拆除、松开防静电手环接地夹，导致手环悬浮悬空、失去接地回路，人体静电无法泄放，全程处于无防护高危作业状态，极易静电击穿精密元器件。</w:t>
      </w:r>
    </w:p>
    <w:p w14:paraId="1360520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7.2 人体接地装置持续有效管控要求</w:t>
      </w:r>
    </w:p>
    <w:p w14:paraId="3C8C2DC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7.2 人员静电接地连续性作业规范</w:t>
      </w:r>
    </w:p>
    <w:p w14:paraId="5B0863E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19ED1B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：立即对全场工位手环接地状态全面排查，所有悬空、拆除接地夹工位即刻恢复接地，对违规人员现场停工警示教育，当场确认全员接地有效后方可复工。</w:t>
      </w:r>
    </w:p>
    <w:p w14:paraId="119D848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员工ESD红线意识薄弱，为作业便利私自破坏防护接地装置；2. 现场无手环接地实时监督、巡查机制，违规行为易漏查；3. 岗位SOP未明确禁止私自拆除接地夹的刚性要求。</w:t>
      </w:r>
    </w:p>
    <w:p w14:paraId="12320C2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修订岗位作业规范，明确手环接地全程连接、严禁私自拆除的作业红线；2. 每日班前、班中、班后三查手环接地完整性，纳入点检表；3. 将私自拆除接地装置纳入班组严重违规考核，从严管控。</w:t>
      </w:r>
    </w:p>
    <w:p w14:paraId="4FA213F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：全场工位手环接地夹全部牢固连接、接地连续有效，无悬浮、拆除、松动问题，人员接地防护全覆盖。</w:t>
      </w:r>
    </w:p>
    <w:p w14:paraId="7AA39B6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：常态化巡检接地连续性，持续开展红线违规宣导，杜绝人为破坏防护设施。</w:t>
      </w:r>
    </w:p>
    <w:p w14:paraId="10EFB15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：人员接地防护管控闭环，高危隐患清零，可结案。</w:t>
      </w:r>
    </w:p>
    <w:p w14:paraId="75D8FDB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手环接地夹是人体静电泄放的唯一有效回路，私自拆除等同于完全取消人体ESD防护。人体作业摩擦可快速累积数千伏静电，接触IC、引脚、精密器件时会发生瞬时硬击穿，造成器件永久性失效，属于现场危害性极强的人为主动违规。</w:t>
      </w:r>
    </w:p>
    <w:p w14:paraId="6B5BBAE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对高频违规工位加装接地夹防脱落卡扣，物理防拆；2. 定期开展违规拆夹案例复盘警示，强化全员敬畏心；3. 将接地有效性纳入工位开机自检条件，异常禁止作业。</w:t>
      </w:r>
    </w:p>
    <w:p w14:paraId="4B141FCF">
      <w:pPr>
        <w:pStyle w:val="4"/>
        <w:keepNext w:val="0"/>
        <w:keepLines w:val="0"/>
        <w:widowControl/>
        <w:suppressLineNumbers w:val="0"/>
        <w:jc w:val="left"/>
        <w:rPr>
          <w:rFonts w:hint="eastAsia" w:ascii="宋体" w:hAnsi="宋体" w:eastAsia="宋体" w:cs="宋体"/>
        </w:rPr>
      </w:pPr>
    </w:p>
    <w:p w14:paraId="05292F47">
      <w:pPr>
        <w:pStyle w:val="4"/>
        <w:keepNext w:val="0"/>
        <w:keepLines w:val="0"/>
        <w:widowControl/>
        <w:suppressLineNumbers w:val="0"/>
        <w:jc w:val="left"/>
        <w:rPr>
          <w:rFonts w:hint="eastAsia" w:ascii="宋体" w:hAnsi="宋体" w:eastAsia="宋体" w:cs="宋体"/>
        </w:rPr>
      </w:pPr>
    </w:p>
    <w:p w14:paraId="108B35A3">
      <w:pPr>
        <w:pStyle w:val="4"/>
        <w:keepNext w:val="0"/>
        <w:keepLines w:val="0"/>
        <w:widowControl/>
        <w:suppressLineNumbers w:val="0"/>
        <w:jc w:val="left"/>
        <w:rPr>
          <w:rFonts w:hint="eastAsia" w:ascii="宋体" w:hAnsi="宋体" w:eastAsia="宋体" w:cs="宋体"/>
        </w:rPr>
      </w:pPr>
    </w:p>
    <w:p w14:paraId="2E1422FE">
      <w:pPr>
        <w:pStyle w:val="4"/>
        <w:keepNext w:val="0"/>
        <w:keepLines w:val="0"/>
        <w:widowControl/>
        <w:suppressLineNumbers w:val="0"/>
        <w:jc w:val="left"/>
        <w:rPr>
          <w:rFonts w:hint="eastAsia" w:ascii="宋体" w:hAnsi="宋体" w:eastAsia="宋体" w:cs="宋体"/>
        </w:rPr>
      </w:pPr>
    </w:p>
    <w:p w14:paraId="519CB412">
      <w:pPr>
        <w:pStyle w:val="4"/>
        <w:keepNext w:val="0"/>
        <w:keepLines w:val="0"/>
        <w:widowControl/>
        <w:suppressLineNumbers w:val="0"/>
        <w:jc w:val="left"/>
        <w:rPr>
          <w:rFonts w:hint="eastAsia" w:ascii="宋体" w:hAnsi="宋体" w:eastAsia="宋体" w:cs="宋体"/>
        </w:rPr>
      </w:pPr>
    </w:p>
    <w:p w14:paraId="227FCEE6">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【NCR075】防静电衣+普通绝缘鞋入区</w:t>
      </w:r>
    </w:p>
    <w:p w14:paraId="4A1FCE9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：部分作业人员穿戴合规防静电上衣，但搭配普通绝缘塑胶鞋进入EPA防静电区域，人体脚部无法泄放静电，形成“上身防护、下身绝缘”的防护漏洞，人体静电蓄积无法导入大地。</w:t>
      </w:r>
    </w:p>
    <w:p w14:paraId="3061567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7.1 人员全身防静电穿戴匹配要求</w:t>
      </w:r>
    </w:p>
    <w:p w14:paraId="4AC9FD3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7.1 作业人员整体静电防护匹配规范</w:t>
      </w:r>
    </w:p>
    <w:p w14:paraId="3D5B6F4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0EC3BB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：立即清退所有穿戴普通绝缘鞋的入区人员，更换合规防静电鞋/鞋套后方可进入作业区域，临时在入口增设穿戴完整性核查岗。</w:t>
      </w:r>
    </w:p>
    <w:p w14:paraId="77327CF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员工存在认知误区，认为仅穿防静电衣即可满足防护要求；2. 车间人员穿戴管控只查上衣，忽略防静电鞋配套核查；3. 入区穿戴标准宣导不全面，全员认知不统一。</w:t>
      </w:r>
    </w:p>
    <w:p w14:paraId="5E2976A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明确EPA入区硬性标准：防静电衣+防静电鞋双项合规方可入区；2. 门禁/入口落实双人核查，杜绝单项合规、混搭穿戴入区；3. 定期开展全员穿戴标准专项培训，纠正片面防护认知。</w:t>
      </w:r>
    </w:p>
    <w:p w14:paraId="15C3923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：所有入区人员均实现衣鞋配套合规穿戴，无绝缘鞋混搭入区问题，人体整体静电泄放通道完整。</w:t>
      </w:r>
    </w:p>
    <w:p w14:paraId="1442A05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：入口常态化核查穿戴匹配性，班中随机抽查，杜绝混搭防护。</w:t>
      </w:r>
    </w:p>
    <w:p w14:paraId="6FA5BEB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：人员穿戴合规管控闭环，防护体系完整，可结案。</w:t>
      </w:r>
    </w:p>
    <w:p w14:paraId="0932D7F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人体静电泄放依靠“手环+足部接地”双重通路，普通绝缘鞋会完全阻断足部泄放路径，仅靠手环无法完全释放动态作业产生的摩擦静电。局部防护、单点绝缘会导致人体电位悬浮波动，是间歇性、偶发性ESD不良的典型诱因，隐蔽性极强。</w:t>
      </w:r>
    </w:p>
    <w:p w14:paraId="14D50DE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统一规范全员工装鞋袜配置，建立人员穿戴台账；2. 外来、临时人员统一配发合规鞋套，专人监管；3. 每月开展穿戴合规性专项稽查，建立违规台账复盘。</w:t>
      </w:r>
    </w:p>
    <w:p w14:paraId="723735A5">
      <w:pPr>
        <w:pStyle w:val="4"/>
        <w:keepNext w:val="0"/>
        <w:keepLines w:val="0"/>
        <w:widowControl/>
        <w:suppressLineNumbers w:val="0"/>
        <w:jc w:val="left"/>
        <w:rPr>
          <w:rFonts w:hint="eastAsia" w:ascii="宋体" w:hAnsi="宋体" w:eastAsia="宋体" w:cs="宋体"/>
        </w:rPr>
      </w:pPr>
    </w:p>
    <w:p w14:paraId="3A3FA55F">
      <w:pPr>
        <w:pStyle w:val="4"/>
        <w:keepNext w:val="0"/>
        <w:keepLines w:val="0"/>
        <w:widowControl/>
        <w:suppressLineNumbers w:val="0"/>
        <w:jc w:val="left"/>
        <w:rPr>
          <w:rFonts w:hint="eastAsia" w:ascii="宋体" w:hAnsi="宋体" w:eastAsia="宋体" w:cs="宋体"/>
        </w:rPr>
      </w:pPr>
    </w:p>
    <w:p w14:paraId="3EC783D5">
      <w:pPr>
        <w:pStyle w:val="4"/>
        <w:keepNext w:val="0"/>
        <w:keepLines w:val="0"/>
        <w:widowControl/>
        <w:suppressLineNumbers w:val="0"/>
        <w:jc w:val="left"/>
        <w:rPr>
          <w:rFonts w:hint="eastAsia" w:ascii="宋体" w:hAnsi="宋体" w:eastAsia="宋体" w:cs="宋体"/>
        </w:rPr>
      </w:pPr>
    </w:p>
    <w:p w14:paraId="53A6353C">
      <w:pPr>
        <w:pStyle w:val="4"/>
        <w:keepNext w:val="0"/>
        <w:keepLines w:val="0"/>
        <w:widowControl/>
        <w:suppressLineNumbers w:val="0"/>
        <w:jc w:val="left"/>
        <w:rPr>
          <w:rFonts w:hint="eastAsia" w:ascii="宋体" w:hAnsi="宋体" w:eastAsia="宋体" w:cs="宋体"/>
        </w:rPr>
      </w:pPr>
    </w:p>
    <w:p w14:paraId="6D761E14">
      <w:pPr>
        <w:pStyle w:val="4"/>
        <w:keepNext w:val="0"/>
        <w:keepLines w:val="0"/>
        <w:widowControl/>
        <w:suppressLineNumbers w:val="0"/>
        <w:jc w:val="left"/>
        <w:rPr>
          <w:rFonts w:hint="eastAsia" w:ascii="宋体" w:hAnsi="宋体" w:eastAsia="宋体" w:cs="宋体"/>
        </w:rPr>
      </w:pPr>
    </w:p>
    <w:p w14:paraId="66046E59">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【NCR076】未防护人员直接取料</w:t>
      </w:r>
    </w:p>
    <w:p w14:paraId="7695B0B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：未穿戴防静电衣、鞋、手环等防护用品的人员，直接进入工位拿取、接触静电敏感元器件与PCBA物料，无任何静电防护措施，高危接触作业。</w:t>
      </w:r>
    </w:p>
    <w:p w14:paraId="2FC3128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7.1 无防护人员禁止接触敏感器件要求</w:t>
      </w:r>
    </w:p>
    <w:p w14:paraId="71A229F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7.1 敏感器件接触人员防护准入规范</w:t>
      </w:r>
    </w:p>
    <w:p w14:paraId="289171E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3CB987F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：立即制止所有无防护取料行为，未防护人员全部撤离作业工位，对已接触物料隔离复检，确认无电性不良后方可流转。</w:t>
      </w:r>
    </w:p>
    <w:p w14:paraId="30AD796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员工侥幸心理严重，短时取料忽视ESD防护要求；2. 工位物料摆放无隔离防护，人员可直接徒手接触；3. 现场监督管控不严，短时违规操作未及时拦截。</w:t>
      </w:r>
    </w:p>
    <w:p w14:paraId="34C59D4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刚性落实“无防护、不取料、不碰料”作业红线；2. 敏感物料工位定点封闭存放，杜绝随意徒手接触；3. 强化现场巡检频次，严查短时、瞬时违规取料行为。</w:t>
      </w:r>
    </w:p>
    <w:p w14:paraId="15E253E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：全场实现全员防护作业，无无防护人员接触敏感物料，物料接触风险完全隔离。</w:t>
      </w:r>
    </w:p>
    <w:p w14:paraId="3BB3BE8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：持续落实红线管控，常态化稽查，杜绝习惯性短时违规。</w:t>
      </w:r>
    </w:p>
    <w:p w14:paraId="4E688A8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：人员取料防护管控合规，风险闭环，可结案。</w:t>
      </w:r>
    </w:p>
    <w:p w14:paraId="641E7B2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：未防护人员人体静电电位极高且无泄放通道，瞬时接触即可造成元器件隐性击穿、参数漂移，该类不良无即时外观异常，仅能在终端测试、老化阶段暴露，追溯困难、批量隐患极大。</w:t>
      </w:r>
    </w:p>
    <w:p w14:paraId="36EDABA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工位张贴醒目“无防护禁止取料”警示标识；2. 新人、临时工重点管控，专项宣导接触红线；3. 违规接触物料纳入品质异常复盘追溯。</w:t>
      </w:r>
    </w:p>
    <w:p w14:paraId="6004F7C6">
      <w:pPr>
        <w:pStyle w:val="4"/>
        <w:keepNext w:val="0"/>
        <w:keepLines w:val="0"/>
        <w:widowControl/>
        <w:suppressLineNumbers w:val="0"/>
        <w:jc w:val="left"/>
        <w:rPr>
          <w:rFonts w:hint="eastAsia" w:ascii="宋体" w:hAnsi="宋体" w:eastAsia="宋体" w:cs="宋体"/>
        </w:rPr>
      </w:pPr>
    </w:p>
    <w:p w14:paraId="43FED27D">
      <w:pPr>
        <w:pStyle w:val="4"/>
        <w:keepNext w:val="0"/>
        <w:keepLines w:val="0"/>
        <w:widowControl/>
        <w:suppressLineNumbers w:val="0"/>
        <w:jc w:val="left"/>
        <w:rPr>
          <w:rFonts w:hint="eastAsia" w:ascii="宋体" w:hAnsi="宋体" w:eastAsia="宋体" w:cs="宋体"/>
        </w:rPr>
      </w:pPr>
    </w:p>
    <w:p w14:paraId="4DE0261B">
      <w:pPr>
        <w:pStyle w:val="4"/>
        <w:keepNext w:val="0"/>
        <w:keepLines w:val="0"/>
        <w:widowControl/>
        <w:suppressLineNumbers w:val="0"/>
        <w:jc w:val="left"/>
        <w:rPr>
          <w:rFonts w:hint="eastAsia" w:ascii="宋体" w:hAnsi="宋体" w:eastAsia="宋体" w:cs="宋体"/>
        </w:rPr>
      </w:pPr>
    </w:p>
    <w:p w14:paraId="7F89A92A">
      <w:pPr>
        <w:pStyle w:val="4"/>
        <w:keepNext w:val="0"/>
        <w:keepLines w:val="0"/>
        <w:widowControl/>
        <w:suppressLineNumbers w:val="0"/>
        <w:jc w:val="left"/>
        <w:rPr>
          <w:rFonts w:hint="eastAsia" w:ascii="宋体" w:hAnsi="宋体" w:eastAsia="宋体" w:cs="宋体"/>
        </w:rPr>
      </w:pPr>
    </w:p>
    <w:p w14:paraId="7484378C">
      <w:pPr>
        <w:pStyle w:val="4"/>
        <w:keepNext w:val="0"/>
        <w:keepLines w:val="0"/>
        <w:widowControl/>
        <w:suppressLineNumbers w:val="0"/>
        <w:jc w:val="left"/>
        <w:rPr>
          <w:rFonts w:hint="eastAsia" w:ascii="宋体" w:hAnsi="宋体" w:eastAsia="宋体" w:cs="宋体"/>
        </w:rPr>
      </w:pPr>
    </w:p>
    <w:p w14:paraId="717359EA">
      <w:pPr>
        <w:pStyle w:val="4"/>
        <w:keepNext w:val="0"/>
        <w:keepLines w:val="0"/>
        <w:widowControl/>
        <w:suppressLineNumbers w:val="0"/>
        <w:jc w:val="left"/>
        <w:rPr>
          <w:rFonts w:hint="eastAsia" w:ascii="宋体" w:hAnsi="宋体" w:eastAsia="宋体" w:cs="宋体"/>
        </w:rPr>
      </w:pPr>
    </w:p>
    <w:p w14:paraId="15F2EDE4">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【NCR077】手环无每日测试记录</w:t>
      </w:r>
    </w:p>
    <w:p w14:paraId="0B329D8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：岗位防静电手环每日班前测试缺失，无测试数据、无点检记录，无法确认当日手环性能是否合格，存在失效手环上岗作业、虚假防护的隐患。</w:t>
      </w:r>
    </w:p>
    <w:p w14:paraId="0B3F14F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7.2 人体防护工具日常验证记录要求</w:t>
      </w:r>
    </w:p>
    <w:p w14:paraId="46D343C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7.2 防静电手环日常点检验证规范</w:t>
      </w:r>
    </w:p>
    <w:p w14:paraId="2B87D76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B96BFF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：立即补全阶段性手环抽检记录，对全场手环逐台实测排查，失效、不合格手环立即更换，确保在岗手环全部性能合格。</w:t>
      </w:r>
    </w:p>
    <w:p w14:paraId="1A0CCCA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班前点检流程执行不到位，存在漏检、不记录、事后补填情况；2. 手环测试点检表单未强制落地，无核查监督机制；3. 员工不了解每日测试的必要性，忽视防护工具有效性验证。</w:t>
      </w:r>
    </w:p>
    <w:p w14:paraId="7F66682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固化每日班前手环100%测试、100%记录机制，无测试禁止上岗；2. 班组长每日核查点检记录真实性、完整性，签字确认；3. 失效手环即时报废更换，建立手环损耗更换台账。</w:t>
      </w:r>
    </w:p>
    <w:p w14:paraId="415B173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：全员手环每日测试记录完整、真实可追溯，在岗手环全部实测合格，防护有效性可控。</w:t>
      </w:r>
    </w:p>
    <w:p w14:paraId="7635035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：每日落实点检闭环，定期抽查记录真实性，杜绝漏检、虚记。</w:t>
      </w:r>
    </w:p>
    <w:p w14:paraId="3FF528C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：手环日常验证管控闭环，体系合规，可结案。</w:t>
      </w:r>
    </w:p>
    <w:p w14:paraId="0EFC320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：手环线材断裂、内部电阻老化、接触不良均为隐性故障，外观无法识别。无每日测试会导致大量失效手环长期在岗使用，形成全员假防护状态，是ESD体系最常见、最典型的体系性漏洞，审厂必查、不良高发。</w:t>
      </w:r>
    </w:p>
    <w:p w14:paraId="35CF8E2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推行班前测试拍照留证、台账电子化归档；2. 每周随机复测在岗手环，核对记录一致性；3. 老旧手环批量轮换，提前规避性能失效风险。</w:t>
      </w:r>
    </w:p>
    <w:p w14:paraId="4A8E4D50">
      <w:pPr>
        <w:pStyle w:val="4"/>
        <w:keepNext w:val="0"/>
        <w:keepLines w:val="0"/>
        <w:widowControl/>
        <w:suppressLineNumbers w:val="0"/>
        <w:jc w:val="left"/>
        <w:rPr>
          <w:rFonts w:hint="eastAsia" w:ascii="宋体" w:hAnsi="宋体" w:eastAsia="宋体" w:cs="宋体"/>
        </w:rPr>
      </w:pPr>
    </w:p>
    <w:p w14:paraId="576EDD2E">
      <w:pPr>
        <w:pStyle w:val="4"/>
        <w:keepNext w:val="0"/>
        <w:keepLines w:val="0"/>
        <w:widowControl/>
        <w:suppressLineNumbers w:val="0"/>
        <w:jc w:val="left"/>
        <w:rPr>
          <w:rFonts w:hint="eastAsia" w:ascii="宋体" w:hAnsi="宋体" w:eastAsia="宋体" w:cs="宋体"/>
        </w:rPr>
      </w:pPr>
    </w:p>
    <w:p w14:paraId="2CEE7B4C">
      <w:pPr>
        <w:pStyle w:val="4"/>
        <w:keepNext w:val="0"/>
        <w:keepLines w:val="0"/>
        <w:widowControl/>
        <w:suppressLineNumbers w:val="0"/>
        <w:jc w:val="left"/>
        <w:rPr>
          <w:rFonts w:hint="eastAsia" w:ascii="宋体" w:hAnsi="宋体" w:eastAsia="宋体" w:cs="宋体"/>
        </w:rPr>
      </w:pPr>
    </w:p>
    <w:p w14:paraId="00776AC3">
      <w:pPr>
        <w:pStyle w:val="4"/>
        <w:keepNext w:val="0"/>
        <w:keepLines w:val="0"/>
        <w:widowControl/>
        <w:suppressLineNumbers w:val="0"/>
        <w:jc w:val="left"/>
        <w:rPr>
          <w:rFonts w:hint="eastAsia" w:ascii="宋体" w:hAnsi="宋体" w:eastAsia="宋体" w:cs="宋体"/>
        </w:rPr>
      </w:pPr>
    </w:p>
    <w:p w14:paraId="02D5F4E8">
      <w:pPr>
        <w:pStyle w:val="4"/>
        <w:keepNext w:val="0"/>
        <w:keepLines w:val="0"/>
        <w:widowControl/>
        <w:suppressLineNumbers w:val="0"/>
        <w:jc w:val="left"/>
        <w:rPr>
          <w:rFonts w:hint="eastAsia" w:ascii="宋体" w:hAnsi="宋体" w:eastAsia="宋体" w:cs="宋体"/>
        </w:rPr>
      </w:pPr>
    </w:p>
    <w:p w14:paraId="525CF134">
      <w:pPr>
        <w:pStyle w:val="4"/>
        <w:keepNext w:val="0"/>
        <w:keepLines w:val="0"/>
        <w:widowControl/>
        <w:suppressLineNumbers w:val="0"/>
        <w:jc w:val="left"/>
        <w:rPr>
          <w:rFonts w:hint="eastAsia" w:ascii="宋体" w:hAnsi="宋体" w:eastAsia="宋体" w:cs="宋体"/>
        </w:rPr>
      </w:pPr>
    </w:p>
    <w:p w14:paraId="6462F759">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【NCR078】裸手触摸元器件引脚</w:t>
      </w:r>
    </w:p>
    <w:p w14:paraId="1B17AE9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：作业人员未佩戴防静电手套，裸手直接触碰IC引脚、PCB金手指、元器件针脚，人体静电、汗液油脂直接接触敏感核心部位，极易引发静电击穿与引脚氧化污染。</w:t>
      </w:r>
    </w:p>
    <w:p w14:paraId="4E97DE5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7.2 敏感器件引脚禁止裸手接触要求</w:t>
      </w:r>
    </w:p>
    <w:p w14:paraId="398FDD3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7.2 精密引脚接触防护作业规范</w:t>
      </w:r>
    </w:p>
    <w:p w14:paraId="5735B89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B0967D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：立即叫停所有裸手接触引脚作业，全员规范佩戴防静电手套，对已裸手接触物料隔离清洁、复检，合格后方可流转。</w:t>
      </w:r>
    </w:p>
    <w:p w14:paraId="492CA6F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员工作业图快，习惯性裸手操作，规范作业意识薄弱；2. 岗位操作细则未明确引脚严禁裸手触碰的硬性条款；3. 现场巡检对细微接触违规查处不严，习惯性违规泛滥。</w:t>
      </w:r>
    </w:p>
    <w:p w14:paraId="588222D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明确元器件引脚、金手指、焊盘严禁裸手触碰，纳入作业红线；2. 强化岗前操作规范培训，固化手套作业习惯；3. 班中高频抽查细微操作，发现违规即时整改问责。</w:t>
      </w:r>
    </w:p>
    <w:p w14:paraId="3B83387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：全场无裸手接触元器件引脚行为，全员规范佩戴防护手套操作，器件接触防护合规。</w:t>
      </w:r>
    </w:p>
    <w:p w14:paraId="2C41129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：常态化规范操作稽查，杜绝细微习惯性违规。</w:t>
      </w:r>
    </w:p>
    <w:p w14:paraId="35A4A9D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：精密器件接触防护闭环，隐患清零，可结案。</w:t>
      </w:r>
    </w:p>
    <w:p w14:paraId="0F3384E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：元器件引脚、金手指为器件最薄弱、最敏感的导电核心区域，耐压值极低。裸手接触不仅瞬时静电击穿风险极高，残留汗液还会导致后期引脚氧化、虚焊、腐蚀失效，引发批量后期品质异常。</w:t>
      </w:r>
    </w:p>
    <w:p w14:paraId="09E3858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关键工位张贴引脚防护操作示意图；2. 定时更换手套，避免手套污染二次伤害器件；3. 将引脚防护操作纳入新员工必考实操项目。</w:t>
      </w:r>
    </w:p>
    <w:p w14:paraId="3E92A423">
      <w:pPr>
        <w:pStyle w:val="4"/>
        <w:keepNext w:val="0"/>
        <w:keepLines w:val="0"/>
        <w:widowControl/>
        <w:suppressLineNumbers w:val="0"/>
        <w:jc w:val="left"/>
        <w:rPr>
          <w:rFonts w:hint="eastAsia" w:ascii="宋体" w:hAnsi="宋体" w:eastAsia="宋体" w:cs="宋体"/>
        </w:rPr>
      </w:pPr>
    </w:p>
    <w:p w14:paraId="4DA4F894">
      <w:pPr>
        <w:pStyle w:val="4"/>
        <w:keepNext w:val="0"/>
        <w:keepLines w:val="0"/>
        <w:widowControl/>
        <w:suppressLineNumbers w:val="0"/>
        <w:jc w:val="left"/>
        <w:rPr>
          <w:rFonts w:hint="eastAsia" w:ascii="宋体" w:hAnsi="宋体" w:eastAsia="宋体" w:cs="宋体"/>
        </w:rPr>
      </w:pPr>
    </w:p>
    <w:p w14:paraId="509824F1">
      <w:pPr>
        <w:pStyle w:val="4"/>
        <w:keepNext w:val="0"/>
        <w:keepLines w:val="0"/>
        <w:widowControl/>
        <w:suppressLineNumbers w:val="0"/>
        <w:jc w:val="left"/>
        <w:rPr>
          <w:rFonts w:hint="eastAsia" w:ascii="宋体" w:hAnsi="宋体" w:eastAsia="宋体" w:cs="宋体"/>
        </w:rPr>
      </w:pPr>
    </w:p>
    <w:p w14:paraId="6D7DCB94">
      <w:pPr>
        <w:pStyle w:val="4"/>
        <w:keepNext w:val="0"/>
        <w:keepLines w:val="0"/>
        <w:widowControl/>
        <w:suppressLineNumbers w:val="0"/>
        <w:jc w:val="left"/>
        <w:rPr>
          <w:rFonts w:hint="eastAsia" w:ascii="宋体" w:hAnsi="宋体" w:eastAsia="宋体" w:cs="宋体"/>
        </w:rPr>
      </w:pPr>
    </w:p>
    <w:p w14:paraId="06E5C0FE">
      <w:pPr>
        <w:pStyle w:val="4"/>
        <w:keepNext w:val="0"/>
        <w:keepLines w:val="0"/>
        <w:widowControl/>
        <w:suppressLineNumbers w:val="0"/>
        <w:jc w:val="left"/>
        <w:rPr>
          <w:rFonts w:hint="eastAsia" w:ascii="宋体" w:hAnsi="宋体" w:eastAsia="宋体" w:cs="宋体"/>
        </w:rPr>
      </w:pPr>
    </w:p>
    <w:p w14:paraId="4B6C3F66">
      <w:pPr>
        <w:pStyle w:val="4"/>
        <w:keepNext w:val="0"/>
        <w:keepLines w:val="0"/>
        <w:widowControl/>
        <w:suppressLineNumbers w:val="0"/>
        <w:jc w:val="left"/>
        <w:rPr>
          <w:rFonts w:hint="eastAsia" w:ascii="宋体" w:hAnsi="宋体" w:eastAsia="宋体" w:cs="宋体"/>
        </w:rPr>
      </w:pPr>
    </w:p>
    <w:p w14:paraId="7542051E">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【NCR079】人员跨地线违规通行</w:t>
      </w:r>
    </w:p>
    <w:p w14:paraId="69090C0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：作业人员频繁跨越防静电区域接地干线、接地铜排通行走动，跨步过程产生跨步电压，同时易踩踏、拉扯接地线路，造成接地松动、电位波动，引发静电放电风险。</w:t>
      </w:r>
    </w:p>
    <w:p w14:paraId="14173C9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5.2 接地系统防护与规范通行要求</w:t>
      </w:r>
    </w:p>
    <w:p w14:paraId="6B305BB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5.2 ESD接地系统运维防护规范</w:t>
      </w:r>
    </w:p>
    <w:p w14:paraId="39A5401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7FA9E48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：立即禁止跨地线通行，临时摆放隔离警示围挡，划定专属通行路线，杜绝人员踩踏、跨越接地干线。</w:t>
      </w:r>
    </w:p>
    <w:p w14:paraId="4BB58E7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员工不了解跨步电压与接地线路损伤的ESD风险；2. 车间未划分规范通行通道，动线规划不合理；3. 接地区域无防护隔离与警示，管控缺失。</w:t>
      </w:r>
    </w:p>
    <w:p w14:paraId="1CCA3BD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重新优化车间人员动线，规避接地干线、铜排区域；2. 对接地线路加装防护盖板、隔离护栏，张贴禁止跨越警示；3. 全员开展接地系统防护专项培训，禁止踩踏跨越。</w:t>
      </w:r>
    </w:p>
    <w:p w14:paraId="4FECC05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：接地区域防护隔离完整，人员通行动线规范，无跨地线、踩踏地线违规行为，接地系统稳定。</w:t>
      </w:r>
    </w:p>
    <w:p w14:paraId="2EF666F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：常态化巡查动线合规性，保护接地系统完整稳定。</w:t>
      </w:r>
    </w:p>
    <w:p w14:paraId="77AECA8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：接地系统防护与人员动线管控闭环，可结案。</w:t>
      </w:r>
    </w:p>
    <w:p w14:paraId="18DC20E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：跨地线通行产生的跨步电压会造成人体电位瞬时波动，诱发器件感应放电；同时长期踩踏、拉扯会导致接地端子松动、接地电阻异常，破坏全域EPA等电位环境，引发区域性ESD不良波动。</w:t>
      </w:r>
    </w:p>
    <w:p w14:paraId="5440A5E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接地干线全覆盖加装耐磨防护盖板；2. 地面标线明确禁行区域与通行通道；3. 定期检查接地端子紧固状态，防止松动。</w:t>
      </w:r>
    </w:p>
    <w:p w14:paraId="26687C06">
      <w:pPr>
        <w:pStyle w:val="4"/>
        <w:keepNext w:val="0"/>
        <w:keepLines w:val="0"/>
        <w:widowControl/>
        <w:suppressLineNumbers w:val="0"/>
        <w:jc w:val="left"/>
        <w:rPr>
          <w:rFonts w:hint="eastAsia" w:ascii="宋体" w:hAnsi="宋体" w:eastAsia="宋体" w:cs="宋体"/>
        </w:rPr>
      </w:pPr>
    </w:p>
    <w:p w14:paraId="66F39BD6">
      <w:pPr>
        <w:pStyle w:val="4"/>
        <w:keepNext w:val="0"/>
        <w:keepLines w:val="0"/>
        <w:widowControl/>
        <w:suppressLineNumbers w:val="0"/>
        <w:jc w:val="left"/>
        <w:rPr>
          <w:rFonts w:hint="eastAsia" w:ascii="宋体" w:hAnsi="宋体" w:eastAsia="宋体" w:cs="宋体"/>
        </w:rPr>
      </w:pPr>
    </w:p>
    <w:p w14:paraId="1F4135F7">
      <w:pPr>
        <w:pStyle w:val="4"/>
        <w:keepNext w:val="0"/>
        <w:keepLines w:val="0"/>
        <w:widowControl/>
        <w:suppressLineNumbers w:val="0"/>
        <w:jc w:val="left"/>
        <w:rPr>
          <w:rFonts w:hint="eastAsia" w:ascii="宋体" w:hAnsi="宋体" w:eastAsia="宋体" w:cs="宋体"/>
        </w:rPr>
      </w:pPr>
    </w:p>
    <w:p w14:paraId="486F17CD">
      <w:pPr>
        <w:pStyle w:val="4"/>
        <w:keepNext w:val="0"/>
        <w:keepLines w:val="0"/>
        <w:widowControl/>
        <w:suppressLineNumbers w:val="0"/>
        <w:jc w:val="left"/>
        <w:rPr>
          <w:rFonts w:hint="eastAsia" w:ascii="宋体" w:hAnsi="宋体" w:eastAsia="宋体" w:cs="宋体"/>
        </w:rPr>
      </w:pPr>
    </w:p>
    <w:p w14:paraId="5DCB3CF3">
      <w:pPr>
        <w:pStyle w:val="4"/>
        <w:keepNext w:val="0"/>
        <w:keepLines w:val="0"/>
        <w:widowControl/>
        <w:suppressLineNumbers w:val="0"/>
        <w:jc w:val="left"/>
        <w:rPr>
          <w:rFonts w:hint="eastAsia" w:ascii="宋体" w:hAnsi="宋体" w:eastAsia="宋体" w:cs="宋体"/>
        </w:rPr>
      </w:pPr>
    </w:p>
    <w:p w14:paraId="1478C48C">
      <w:pPr>
        <w:pStyle w:val="4"/>
        <w:keepNext w:val="0"/>
        <w:keepLines w:val="0"/>
        <w:widowControl/>
        <w:suppressLineNumbers w:val="0"/>
        <w:jc w:val="left"/>
        <w:rPr>
          <w:rFonts w:hint="eastAsia" w:ascii="宋体" w:hAnsi="宋体" w:eastAsia="宋体" w:cs="宋体"/>
        </w:rPr>
      </w:pPr>
    </w:p>
    <w:p w14:paraId="1600558A">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【NCR080】防静电鞋磨损失效</w:t>
      </w:r>
    </w:p>
    <w:p w14:paraId="121848A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：现场部分员工防静电鞋鞋底磨损严重、表层导电材质脱落、纹路磨平，实测表面电阻超标，防静电泄放性能失效，无法实现足部静电接地泄放。</w:t>
      </w:r>
    </w:p>
    <w:p w14:paraId="1409731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7.1 防静电鞋持续性能合格要求</w:t>
      </w:r>
    </w:p>
    <w:p w14:paraId="0AE31B7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7.1 足部静电防护装备运维规范</w:t>
      </w:r>
    </w:p>
    <w:p w14:paraId="24CC967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33FBE46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：立即全面排查所有防静电鞋，磨损、超标、失效鞋子全部停用隔离，统一更换合格新鞋，临时加大鞋体电阻抽检频次。</w:t>
      </w:r>
    </w:p>
    <w:p w14:paraId="773A961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防静电鞋长期使用磨损老化，无固定更换周期；2. 日常点检只查穿戴、不查性能与磨损状态；3. 无防静电鞋定期检测、轮换、报废机制。</w:t>
      </w:r>
    </w:p>
    <w:p w14:paraId="6557013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建立防静电鞋个人台账，明确使用周期、报废标准；2. 每周开展外观磨损检查，每月批量电阻抽检；3. 磨损超标即时报废换新，严禁超期失效使用。</w:t>
      </w:r>
    </w:p>
    <w:p w14:paraId="32A7F4F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：全员防静电鞋外观完好、电阻检测达标，足部静电泄放通道全部有效，无失效鞋体上岗。</w:t>
      </w:r>
    </w:p>
    <w:p w14:paraId="28285DF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：严格落实周期检测与报废机制，常态化管控鞋体防护性能。</w:t>
      </w:r>
    </w:p>
    <w:p w14:paraId="70AD570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：足部防护装备管控闭环，风险清零，可结案。</w:t>
      </w:r>
    </w:p>
    <w:p w14:paraId="64E1EA0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：防静电鞋依靠表层导电纹路实现接地泄放，磨损后完全转为绝缘状态，直接切断人体第二重接地防护通道。单靠手环防护无法覆盖动态作业静电蓄积，极易造成作业过程间歇性ESD击穿。</w:t>
      </w:r>
    </w:p>
    <w:p w14:paraId="505C98B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制定防静电鞋季度轮换、年度强制报废制度；2. 建立个人领用台账，责任到人；3. 干燥季节重点加大鞋体性能抽检比例。</w:t>
      </w:r>
    </w:p>
    <w:p w14:paraId="0FDC625A">
      <w:pPr>
        <w:pStyle w:val="4"/>
        <w:keepNext w:val="0"/>
        <w:keepLines w:val="0"/>
        <w:widowControl/>
        <w:suppressLineNumbers w:val="0"/>
        <w:jc w:val="left"/>
        <w:rPr>
          <w:rFonts w:hint="eastAsia" w:ascii="宋体" w:hAnsi="宋体" w:eastAsia="宋体" w:cs="宋体"/>
        </w:rPr>
      </w:pPr>
    </w:p>
    <w:p w14:paraId="3EC8AD25">
      <w:pPr>
        <w:pStyle w:val="4"/>
        <w:keepNext w:val="0"/>
        <w:keepLines w:val="0"/>
        <w:widowControl/>
        <w:suppressLineNumbers w:val="0"/>
        <w:jc w:val="left"/>
        <w:rPr>
          <w:rFonts w:hint="eastAsia" w:ascii="宋体" w:hAnsi="宋体" w:eastAsia="宋体" w:cs="宋体"/>
        </w:rPr>
      </w:pPr>
    </w:p>
    <w:p w14:paraId="0B3F82EC">
      <w:pPr>
        <w:pStyle w:val="4"/>
        <w:keepNext w:val="0"/>
        <w:keepLines w:val="0"/>
        <w:widowControl/>
        <w:suppressLineNumbers w:val="0"/>
        <w:jc w:val="left"/>
        <w:rPr>
          <w:rFonts w:hint="eastAsia" w:ascii="宋体" w:hAnsi="宋体" w:eastAsia="宋体" w:cs="宋体"/>
        </w:rPr>
      </w:pPr>
    </w:p>
    <w:p w14:paraId="55F700E1">
      <w:pPr>
        <w:pStyle w:val="4"/>
        <w:keepNext w:val="0"/>
        <w:keepLines w:val="0"/>
        <w:widowControl/>
        <w:suppressLineNumbers w:val="0"/>
        <w:jc w:val="left"/>
        <w:rPr>
          <w:rFonts w:hint="eastAsia" w:ascii="宋体" w:hAnsi="宋体" w:eastAsia="宋体" w:cs="宋体"/>
        </w:rPr>
      </w:pPr>
    </w:p>
    <w:p w14:paraId="21D9BCD9">
      <w:pPr>
        <w:pStyle w:val="4"/>
        <w:keepNext w:val="0"/>
        <w:keepLines w:val="0"/>
        <w:widowControl/>
        <w:suppressLineNumbers w:val="0"/>
        <w:jc w:val="left"/>
        <w:rPr>
          <w:rFonts w:hint="eastAsia" w:ascii="宋体" w:hAnsi="宋体" w:eastAsia="宋体" w:cs="宋体"/>
        </w:rPr>
      </w:pPr>
    </w:p>
    <w:p w14:paraId="41DAF508">
      <w:pPr>
        <w:pStyle w:val="4"/>
        <w:keepNext w:val="0"/>
        <w:keepLines w:val="0"/>
        <w:widowControl/>
        <w:suppressLineNumbers w:val="0"/>
        <w:jc w:val="left"/>
        <w:rPr>
          <w:rFonts w:hint="eastAsia" w:ascii="宋体" w:hAnsi="宋体" w:eastAsia="宋体" w:cs="宋体"/>
        </w:rPr>
      </w:pPr>
    </w:p>
    <w:p w14:paraId="21DDDAD6">
      <w:pPr>
        <w:pStyle w:val="4"/>
        <w:keepNext w:val="0"/>
        <w:keepLines w:val="0"/>
        <w:widowControl/>
        <w:suppressLineNumbers w:val="0"/>
        <w:jc w:val="left"/>
        <w:rPr>
          <w:rFonts w:hint="eastAsia" w:ascii="宋体" w:hAnsi="宋体" w:eastAsia="宋体" w:cs="宋体"/>
        </w:rPr>
      </w:pPr>
    </w:p>
    <w:p w14:paraId="0E208CBF">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【NCR081】佩戴金属饰品作业</w:t>
      </w:r>
    </w:p>
    <w:p w14:paraId="633E504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：作业人员上岗佩戴金属手链、手表、戒指、项链等金属饰品进入EPA区域作业，金属导体易蓄积静电、产生尖端放电，贴近元器件作业时存在极强击穿风险。</w:t>
      </w:r>
    </w:p>
    <w:p w14:paraId="498103A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7.3 作业区域禁止金属饰品佩戴要求</w:t>
      </w:r>
    </w:p>
    <w:p w14:paraId="474234E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7.3 静电敏感作业金属导体管控规范</w:t>
      </w:r>
    </w:p>
    <w:p w14:paraId="0638219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5ECD5A4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：立即要求全员摘除所有金属饰品，现场核查确认无佩戴后方可上岗，开展全域专项排查清零。</w:t>
      </w:r>
    </w:p>
    <w:p w14:paraId="650E717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员工对金属饰品ESD放电风险认知不足，习惯性佩戴上岗；2. 岗前仪容检查未将金属饰品纳入必查项目；3. 无常态化专项稽查机制，违规佩戴反复发生。</w:t>
      </w:r>
    </w:p>
    <w:p w14:paraId="34EF950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明确EPA区域严禁佩戴各类金属饰品作业，纳入岗位红线；2. 班前仪容点检增加金属饰品核查项，不合格禁止上岗；3. 定期开展专项稽查，违规纳入班组考核。</w:t>
      </w:r>
    </w:p>
    <w:p w14:paraId="2315684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：全场作业人员无金属饰品佩戴，作业环境无尖端放电隐患，人员作业合规。</w:t>
      </w:r>
    </w:p>
    <w:p w14:paraId="0EB813C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：班前常态化核查，持续宣导风险，杜绝饰品违规上岗。</w:t>
      </w:r>
    </w:p>
    <w:p w14:paraId="619F018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：人员作业仪容ESD管控闭环，隐患清零，可结案。</w:t>
      </w:r>
    </w:p>
    <w:p w14:paraId="58A00AD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：金属饰品为良导体，极易吸附、蓄积静电电荷，且具备尖端放电特性，在精密器件近距离作业时，可瞬间释放高压静电，是工位突发性、无规律ESD不良的重要诱因，风险极高。</w:t>
      </w:r>
    </w:p>
    <w:p w14:paraId="02071ED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车间入口张贴禁止佩戴金属饰品警示公告；2. 设置饰品临时存放盒，方便员工统一存放；3. 新员工入职重点宣导该项红线要求。</w:t>
      </w:r>
    </w:p>
    <w:p w14:paraId="0083B46B">
      <w:pPr>
        <w:pStyle w:val="4"/>
        <w:keepNext w:val="0"/>
        <w:keepLines w:val="0"/>
        <w:widowControl/>
        <w:suppressLineNumbers w:val="0"/>
        <w:jc w:val="left"/>
        <w:rPr>
          <w:rFonts w:hint="eastAsia" w:ascii="宋体" w:hAnsi="宋体" w:eastAsia="宋体" w:cs="宋体"/>
        </w:rPr>
      </w:pPr>
    </w:p>
    <w:p w14:paraId="2B16D674">
      <w:pPr>
        <w:pStyle w:val="4"/>
        <w:keepNext w:val="0"/>
        <w:keepLines w:val="0"/>
        <w:widowControl/>
        <w:suppressLineNumbers w:val="0"/>
        <w:jc w:val="left"/>
        <w:rPr>
          <w:rFonts w:hint="eastAsia" w:ascii="宋体" w:hAnsi="宋体" w:eastAsia="宋体" w:cs="宋体"/>
        </w:rPr>
      </w:pPr>
    </w:p>
    <w:p w14:paraId="085805C3">
      <w:pPr>
        <w:pStyle w:val="4"/>
        <w:keepNext w:val="0"/>
        <w:keepLines w:val="0"/>
        <w:widowControl/>
        <w:suppressLineNumbers w:val="0"/>
        <w:jc w:val="left"/>
        <w:rPr>
          <w:rFonts w:hint="eastAsia" w:ascii="宋体" w:hAnsi="宋体" w:eastAsia="宋体" w:cs="宋体"/>
        </w:rPr>
      </w:pPr>
    </w:p>
    <w:p w14:paraId="507DB22D">
      <w:pPr>
        <w:pStyle w:val="4"/>
        <w:keepNext w:val="0"/>
        <w:keepLines w:val="0"/>
        <w:widowControl/>
        <w:suppressLineNumbers w:val="0"/>
        <w:jc w:val="left"/>
        <w:rPr>
          <w:rFonts w:hint="eastAsia" w:ascii="宋体" w:hAnsi="宋体" w:eastAsia="宋体" w:cs="宋体"/>
        </w:rPr>
      </w:pPr>
    </w:p>
    <w:p w14:paraId="21A8C65F">
      <w:pPr>
        <w:pStyle w:val="4"/>
        <w:keepNext w:val="0"/>
        <w:keepLines w:val="0"/>
        <w:widowControl/>
        <w:suppressLineNumbers w:val="0"/>
        <w:jc w:val="left"/>
        <w:rPr>
          <w:rFonts w:hint="eastAsia" w:ascii="宋体" w:hAnsi="宋体" w:eastAsia="宋体" w:cs="宋体"/>
        </w:rPr>
      </w:pPr>
    </w:p>
    <w:p w14:paraId="11D75808">
      <w:pPr>
        <w:pStyle w:val="4"/>
        <w:keepNext w:val="0"/>
        <w:keepLines w:val="0"/>
        <w:widowControl/>
        <w:suppressLineNumbers w:val="0"/>
        <w:jc w:val="left"/>
        <w:rPr>
          <w:rFonts w:hint="eastAsia" w:ascii="宋体" w:hAnsi="宋体" w:eastAsia="宋体" w:cs="宋体"/>
        </w:rPr>
      </w:pPr>
    </w:p>
    <w:p w14:paraId="6BA9BE9D">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【NCR082】同时接触接地与非接地金属</w:t>
      </w:r>
    </w:p>
    <w:p w14:paraId="5D0FC24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：作业人员作业过程中单手接触接地金属机台、同时触碰未接地金属治具/配件，人体成为不等电位导体桥梁，瞬间产生电位差放电，直接击穿手中敏感物料。</w:t>
      </w:r>
    </w:p>
    <w:p w14:paraId="5246EC0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7.2 等电位作业操作管控要求</w:t>
      </w:r>
    </w:p>
    <w:p w14:paraId="00C455F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7.2 不等电位金属接触作业规范</w:t>
      </w:r>
    </w:p>
    <w:p w14:paraId="3CD9EE2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4634EA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：立即叫停违规操作，现场全员警示教育，对未接地金属治具临时隔离停用，统一整改接地。</w:t>
      </w:r>
    </w:p>
    <w:p w14:paraId="37AB997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员工不了解不等电位跨接放电原理，操作习惯不规范；2. 现场金属治具、配件接地状态参差不齐，部分未接地；3. 作业操作规范未明确禁止跨电位接触操作。</w:t>
      </w:r>
    </w:p>
    <w:p w14:paraId="79DCFFB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全员培训等电位作业原理，禁止同时接触两类不同电位金属；2. 全域排查金属工装治具，全部统一规范接地；3. 将等电位规范操作纳入日常巡检重点核查项。</w:t>
      </w:r>
    </w:p>
    <w:p w14:paraId="1BA79BB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：所有金属工装治具接地合规，员工操作规范，无跨电位接触放电隐患，作业电位环境稳定。</w:t>
      </w:r>
    </w:p>
    <w:p w14:paraId="6B54072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：持续规范操作行为，定期排查工装接地状态。</w:t>
      </w:r>
    </w:p>
    <w:p w14:paraId="53545D3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：等电位作业管控合规，风险闭环，可结案。</w:t>
      </w:r>
    </w:p>
    <w:p w14:paraId="2DD19C7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：跨电位金属接触是最直接、最高效的ESD击穿方式，人体作为导体形成放电回路，瞬时放电能量足以击穿绝大多数低压IC芯片。该操作属于典型的知识性违规，是制程批量不良的核心人为诱因。</w:t>
      </w:r>
    </w:p>
    <w:p w14:paraId="2DFB90A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对所有金属工装统一标识接地状态；2. 开展等电位操作专项实操考核；3. 定期排查新增工装接地合规性。</w:t>
      </w:r>
    </w:p>
    <w:p w14:paraId="32148073">
      <w:pPr>
        <w:pStyle w:val="4"/>
        <w:keepNext w:val="0"/>
        <w:keepLines w:val="0"/>
        <w:widowControl/>
        <w:suppressLineNumbers w:val="0"/>
        <w:jc w:val="left"/>
        <w:rPr>
          <w:rFonts w:hint="eastAsia" w:ascii="宋体" w:hAnsi="宋体" w:eastAsia="宋体" w:cs="宋体"/>
        </w:rPr>
      </w:pPr>
    </w:p>
    <w:p w14:paraId="1588A325">
      <w:pPr>
        <w:pStyle w:val="4"/>
        <w:keepNext w:val="0"/>
        <w:keepLines w:val="0"/>
        <w:widowControl/>
        <w:suppressLineNumbers w:val="0"/>
        <w:jc w:val="left"/>
        <w:rPr>
          <w:rFonts w:hint="eastAsia" w:ascii="宋体" w:hAnsi="宋体" w:eastAsia="宋体" w:cs="宋体"/>
        </w:rPr>
      </w:pPr>
    </w:p>
    <w:p w14:paraId="57BE22CB">
      <w:pPr>
        <w:pStyle w:val="4"/>
        <w:keepNext w:val="0"/>
        <w:keepLines w:val="0"/>
        <w:widowControl/>
        <w:suppressLineNumbers w:val="0"/>
        <w:jc w:val="left"/>
        <w:rPr>
          <w:rFonts w:hint="eastAsia" w:ascii="宋体" w:hAnsi="宋体" w:eastAsia="宋体" w:cs="宋体"/>
        </w:rPr>
      </w:pPr>
    </w:p>
    <w:p w14:paraId="6DEE32D8">
      <w:pPr>
        <w:pStyle w:val="4"/>
        <w:keepNext w:val="0"/>
        <w:keepLines w:val="0"/>
        <w:widowControl/>
        <w:suppressLineNumbers w:val="0"/>
        <w:jc w:val="left"/>
        <w:rPr>
          <w:rFonts w:hint="eastAsia" w:ascii="宋体" w:hAnsi="宋体" w:eastAsia="宋体" w:cs="宋体"/>
        </w:rPr>
      </w:pPr>
    </w:p>
    <w:p w14:paraId="4D38980D">
      <w:pPr>
        <w:pStyle w:val="4"/>
        <w:keepNext w:val="0"/>
        <w:keepLines w:val="0"/>
        <w:widowControl/>
        <w:suppressLineNumbers w:val="0"/>
        <w:jc w:val="left"/>
        <w:rPr>
          <w:rFonts w:hint="eastAsia" w:ascii="宋体" w:hAnsi="宋体" w:eastAsia="宋体" w:cs="宋体"/>
        </w:rPr>
      </w:pPr>
    </w:p>
    <w:p w14:paraId="34281956">
      <w:pPr>
        <w:pStyle w:val="4"/>
        <w:keepNext w:val="0"/>
        <w:keepLines w:val="0"/>
        <w:widowControl/>
        <w:suppressLineNumbers w:val="0"/>
        <w:jc w:val="left"/>
        <w:rPr>
          <w:rFonts w:hint="eastAsia" w:ascii="宋体" w:hAnsi="宋体" w:eastAsia="宋体" w:cs="宋体"/>
        </w:rPr>
      </w:pPr>
    </w:p>
    <w:p w14:paraId="7659D00C">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【NCR083】新员工无ESD培训上岗</w:t>
      </w:r>
    </w:p>
    <w:p w14:paraId="3F706F9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：部分新入职、转岗员工未完成ESD专项培训、未掌握防静电作业规范，直接上岗接触敏感物料，作业操作不标准，存在大量人为ESD违规风险。</w:t>
      </w:r>
    </w:p>
    <w:p w14:paraId="752045C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8.1 作业人员上岗培训准入要求</w:t>
      </w:r>
    </w:p>
    <w:p w14:paraId="73F100F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8.1 ESD岗位人员培训准入规范</w:t>
      </w:r>
    </w:p>
    <w:p w14:paraId="1B0618C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0AA1BD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：立即暂停未培训新员工独立上岗作业，安排老员工一对一监护，即刻补做ESD入职专项培训及考核。</w:t>
      </w:r>
    </w:p>
    <w:p w14:paraId="35CF7D8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入职培训流程漏洞，ESD专项培训未列为上岗前置条件；2. 产能紧张优先上岗，存在先上岗后补培训的违规情况；3. 无培训准入台账，人员持证上岗管控不严。</w:t>
      </w:r>
    </w:p>
    <w:p w14:paraId="0DE50B6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刚性落实“先培训、后考核、再上岗”准入流程；2. 建立全员ESD培训台账，记录培训、考核、上岗时间；3. 人事、品质双重审核，无培训记录禁止上岗。</w:t>
      </w:r>
    </w:p>
    <w:p w14:paraId="0D54BE2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：所有在岗新员工均完成ESD培训及考核，台账完整可追溯，全员持证合规上岗。</w:t>
      </w:r>
    </w:p>
    <w:p w14:paraId="75B141C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：固化上岗准入流程，杜绝无培训、无考核上岗问题。</w:t>
      </w:r>
    </w:p>
    <w:p w14:paraId="2063574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：人员培训准入体系闭环，合规达标，可结案。</w:t>
      </w:r>
    </w:p>
    <w:p w14:paraId="4914565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：新员工是现场ESD违规高发群体，无培训上岗会导致基础性、常识性违规频发，破坏工位静电环境，造成持续性隐性不良，属于体系源头管控缺失，直接影响整体ESD管控稳定性。</w:t>
      </w:r>
    </w:p>
    <w:p w14:paraId="58D722C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编制新员工ESD极简上岗手册，统一培训口径；2. 新员工上岗前完成实操+理论双考核；3. 每月开展新员工ESD复盘复盘培训。</w:t>
      </w:r>
    </w:p>
    <w:p w14:paraId="5D128A09">
      <w:pPr>
        <w:pStyle w:val="4"/>
        <w:keepNext w:val="0"/>
        <w:keepLines w:val="0"/>
        <w:widowControl/>
        <w:suppressLineNumbers w:val="0"/>
        <w:jc w:val="left"/>
        <w:rPr>
          <w:rFonts w:hint="eastAsia" w:ascii="宋体" w:hAnsi="宋体" w:eastAsia="宋体" w:cs="宋体"/>
        </w:rPr>
      </w:pPr>
    </w:p>
    <w:p w14:paraId="4154AD20">
      <w:pPr>
        <w:pStyle w:val="4"/>
        <w:keepNext w:val="0"/>
        <w:keepLines w:val="0"/>
        <w:widowControl/>
        <w:suppressLineNumbers w:val="0"/>
        <w:jc w:val="left"/>
        <w:rPr>
          <w:rFonts w:hint="eastAsia" w:ascii="宋体" w:hAnsi="宋体" w:eastAsia="宋体" w:cs="宋体"/>
        </w:rPr>
      </w:pPr>
    </w:p>
    <w:p w14:paraId="430B1497">
      <w:pPr>
        <w:pStyle w:val="4"/>
        <w:keepNext w:val="0"/>
        <w:keepLines w:val="0"/>
        <w:widowControl/>
        <w:suppressLineNumbers w:val="0"/>
        <w:jc w:val="left"/>
        <w:rPr>
          <w:rFonts w:hint="eastAsia" w:ascii="宋体" w:hAnsi="宋体" w:eastAsia="宋体" w:cs="宋体"/>
        </w:rPr>
      </w:pPr>
    </w:p>
    <w:p w14:paraId="09396AD0">
      <w:pPr>
        <w:pStyle w:val="4"/>
        <w:keepNext w:val="0"/>
        <w:keepLines w:val="0"/>
        <w:widowControl/>
        <w:suppressLineNumbers w:val="0"/>
        <w:jc w:val="left"/>
        <w:rPr>
          <w:rFonts w:hint="eastAsia" w:ascii="宋体" w:hAnsi="宋体" w:eastAsia="宋体" w:cs="宋体"/>
        </w:rPr>
      </w:pPr>
    </w:p>
    <w:p w14:paraId="637E703E">
      <w:pPr>
        <w:pStyle w:val="4"/>
        <w:keepNext w:val="0"/>
        <w:keepLines w:val="0"/>
        <w:widowControl/>
        <w:suppressLineNumbers w:val="0"/>
        <w:jc w:val="left"/>
        <w:rPr>
          <w:rFonts w:hint="eastAsia" w:ascii="宋体" w:hAnsi="宋体" w:eastAsia="宋体" w:cs="宋体"/>
        </w:rPr>
      </w:pPr>
    </w:p>
    <w:p w14:paraId="2DD05A3C">
      <w:pPr>
        <w:pStyle w:val="4"/>
        <w:keepNext w:val="0"/>
        <w:keepLines w:val="0"/>
        <w:widowControl/>
        <w:suppressLineNumbers w:val="0"/>
        <w:jc w:val="left"/>
        <w:rPr>
          <w:rFonts w:hint="eastAsia" w:ascii="宋体" w:hAnsi="宋体" w:eastAsia="宋体" w:cs="宋体"/>
        </w:rPr>
      </w:pPr>
    </w:p>
    <w:p w14:paraId="5FB1C822">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【NCR084】外来人员无防静电鞋套</w:t>
      </w:r>
    </w:p>
    <w:p w14:paraId="0C837FF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：访客、稽核、维修、供应商等外来人员进入EPA区域，未佩戴防静电鞋套，穿戴普通鞋底直接踏入防静电区域，鞋底绝缘摩擦蓄积静电，污染区域静电环境。</w:t>
      </w:r>
    </w:p>
    <w:p w14:paraId="1224B33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7.1 外来人员区域防护准入要求</w:t>
      </w:r>
    </w:p>
    <w:p w14:paraId="5C4FE1F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7.1 外来人员EPA防护准入规范</w:t>
      </w:r>
    </w:p>
    <w:p w14:paraId="52B92B7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78BC850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：立即整改外来人员准入流程，所有入场人员必须佩戴合规防静电鞋套后方可进入，专人全程陪同监管。</w:t>
      </w:r>
    </w:p>
    <w:p w14:paraId="1D861B0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外来人员准入管控宽松，未落实防护准入标准；2. 入口未常备足量合规鞋套，防护物资配备不足；3. 无外来人员ESD准入告知与监管机制。</w:t>
      </w:r>
    </w:p>
    <w:p w14:paraId="1917EE5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完善外来人员准入SOP，明确衣、鞋、手环全套防护要求；2. 入口定点存放足量防静电鞋套、访客防护服；3. 落实专人登记、告知、监护，无防护禁止入区。</w:t>
      </w:r>
    </w:p>
    <w:p w14:paraId="435B19A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：外来人员准入流程规范，防护物资齐全，所有入场人员均合规佩戴鞋套，区域准入防护全覆盖。</w:t>
      </w:r>
    </w:p>
    <w:p w14:paraId="6836B65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：常态化落实访客准入管控，物资常备、流程常抓。</w:t>
      </w:r>
    </w:p>
    <w:p w14:paraId="792FDCF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：外来人员准入防护闭环，风险可控，可结案。</w:t>
      </w:r>
    </w:p>
    <w:p w14:paraId="4481ED8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：外来人员鞋底多为高绝缘材质，踏入EPA区域会快速提升区域静电电位，破坏区域静电平衡，且人员动线不固定，极易全域扩散静电污染，属于全域性环境风险源头。</w:t>
      </w:r>
    </w:p>
    <w:p w14:paraId="228F48D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入口张贴访客ESD准入须知与防护标准；2. 建立外来人员登记+防护确认双台账；3. 定期补充访客防护耗材，保障足额备用。</w:t>
      </w:r>
    </w:p>
    <w:p w14:paraId="7A94FF76">
      <w:pPr>
        <w:pStyle w:val="4"/>
        <w:keepNext w:val="0"/>
        <w:keepLines w:val="0"/>
        <w:widowControl/>
        <w:suppressLineNumbers w:val="0"/>
        <w:jc w:val="left"/>
        <w:rPr>
          <w:rFonts w:hint="eastAsia" w:ascii="宋体" w:hAnsi="宋体" w:eastAsia="宋体" w:cs="宋体"/>
        </w:rPr>
      </w:pPr>
    </w:p>
    <w:p w14:paraId="4181DB6D">
      <w:pPr>
        <w:pStyle w:val="4"/>
        <w:keepNext w:val="0"/>
        <w:keepLines w:val="0"/>
        <w:widowControl/>
        <w:suppressLineNumbers w:val="0"/>
        <w:jc w:val="left"/>
        <w:rPr>
          <w:rFonts w:hint="eastAsia" w:ascii="宋体" w:hAnsi="宋体" w:eastAsia="宋体" w:cs="宋体"/>
        </w:rPr>
      </w:pPr>
    </w:p>
    <w:p w14:paraId="2EB25E5A">
      <w:pPr>
        <w:pStyle w:val="4"/>
        <w:keepNext w:val="0"/>
        <w:keepLines w:val="0"/>
        <w:widowControl/>
        <w:suppressLineNumbers w:val="0"/>
        <w:jc w:val="left"/>
        <w:rPr>
          <w:rFonts w:hint="eastAsia" w:ascii="宋体" w:hAnsi="宋体" w:eastAsia="宋体" w:cs="宋体"/>
        </w:rPr>
      </w:pPr>
    </w:p>
    <w:p w14:paraId="20120BEF">
      <w:pPr>
        <w:pStyle w:val="4"/>
        <w:keepNext w:val="0"/>
        <w:keepLines w:val="0"/>
        <w:widowControl/>
        <w:suppressLineNumbers w:val="0"/>
        <w:jc w:val="left"/>
        <w:rPr>
          <w:rFonts w:hint="eastAsia" w:ascii="宋体" w:hAnsi="宋体" w:eastAsia="宋体" w:cs="宋体"/>
        </w:rPr>
      </w:pPr>
    </w:p>
    <w:p w14:paraId="17215662">
      <w:pPr>
        <w:pStyle w:val="4"/>
        <w:keepNext w:val="0"/>
        <w:keepLines w:val="0"/>
        <w:widowControl/>
        <w:suppressLineNumbers w:val="0"/>
        <w:jc w:val="left"/>
        <w:rPr>
          <w:rFonts w:hint="eastAsia" w:ascii="宋体" w:hAnsi="宋体" w:eastAsia="宋体" w:cs="宋体"/>
        </w:rPr>
      </w:pPr>
    </w:p>
    <w:p w14:paraId="4838E0F4">
      <w:pPr>
        <w:pStyle w:val="4"/>
        <w:keepNext w:val="0"/>
        <w:keepLines w:val="0"/>
        <w:widowControl/>
        <w:suppressLineNumbers w:val="0"/>
        <w:jc w:val="left"/>
        <w:rPr>
          <w:rFonts w:hint="eastAsia" w:ascii="宋体" w:hAnsi="宋体" w:eastAsia="宋体" w:cs="宋体"/>
        </w:rPr>
      </w:pPr>
    </w:p>
    <w:p w14:paraId="69AF9DEA">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【NCR085】工位使用普通塑料工具</w:t>
      </w:r>
    </w:p>
    <w:p w14:paraId="46D6CC4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：作业工位违规使用普通塑料镊子、塑胶刮刀、普通塑胶治具等高绝缘工具，绝缘工具摩擦极易蓄积高压静电，无泄放通道，近距离作业直接威胁敏感元器件。</w:t>
      </w:r>
    </w:p>
    <w:p w14:paraId="7C14075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6.3 工位工具防静电合规要求</w:t>
      </w:r>
    </w:p>
    <w:p w14:paraId="43D0529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6.3 工位工具静电防护管控规范</w:t>
      </w:r>
    </w:p>
    <w:p w14:paraId="25249EB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23A1E0C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：立即清退全场工位普通塑料绝缘工具，统一更换防静电专用工具，临时禁止所有绝缘工具入工位使用。</w:t>
      </w:r>
    </w:p>
    <w:p w14:paraId="2C4D9D8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员工贪图手感便利，私自混用普通塑胶工具；2. 工位工具未统一标准化配置，合规工具配备不足；3. 工位工具合规性稽查不严，违规工具长期留存。</w:t>
      </w:r>
    </w:p>
    <w:p w14:paraId="0E6C115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全面清退工位所有普通绝缘工具，统一标配防静电工具；2. 建立工位工具台账，定点存放、专人管理；3. 日常巡检严查绝缘工具混用，一经发现立即收缴问责。</w:t>
      </w:r>
    </w:p>
    <w:p w14:paraId="6931C25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：全场工位工具全部为合规防静电工具，无普通塑料绝缘工具混用，工位工具静电风险清零。</w:t>
      </w:r>
    </w:p>
    <w:p w14:paraId="69940E4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：常态化工具合规排查，杜绝绝缘工具回流工位。</w:t>
      </w:r>
    </w:p>
    <w:p w14:paraId="6ABE48D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：工位工具管控合规，隐患闭环，可结案。</w:t>
      </w:r>
    </w:p>
    <w:p w14:paraId="4869220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：普通塑料工具为高绝缘材质，摩擦起电压极高且无泄放能力，是工位持续性静电累积的核心来源。工具贴身作业、近距离接触物料，放电概率极高，是制程隐性不良的高频诱因。</w:t>
      </w:r>
    </w:p>
    <w:p w14:paraId="3A998E1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工具统一编号、定置管理，杜绝私自带入工具；2. 定期检测工具防静电性能，老化失效及时更换；3. 建立工具领用、报废、更新台账。</w:t>
      </w:r>
    </w:p>
    <w:p w14:paraId="1817B5AB">
      <w:pPr>
        <w:pStyle w:val="3"/>
        <w:keepNext w:val="0"/>
        <w:keepLines w:val="0"/>
        <w:widowControl/>
        <w:suppressLineNumbers w:val="0"/>
        <w:jc w:val="left"/>
        <w:rPr>
          <w:rFonts w:hint="eastAsia" w:ascii="宋体" w:hAnsi="宋体" w:eastAsia="宋体" w:cs="宋体"/>
        </w:rPr>
      </w:pPr>
    </w:p>
    <w:p w14:paraId="01EAF3D0">
      <w:pPr>
        <w:pStyle w:val="3"/>
        <w:keepNext w:val="0"/>
        <w:keepLines w:val="0"/>
        <w:widowControl/>
        <w:suppressLineNumbers w:val="0"/>
        <w:jc w:val="left"/>
        <w:rPr>
          <w:rFonts w:hint="eastAsia" w:ascii="宋体" w:hAnsi="宋体" w:eastAsia="宋体" w:cs="宋体"/>
        </w:rPr>
      </w:pPr>
    </w:p>
    <w:p w14:paraId="5342F7E4">
      <w:pPr>
        <w:pStyle w:val="3"/>
        <w:keepNext w:val="0"/>
        <w:keepLines w:val="0"/>
        <w:widowControl/>
        <w:suppressLineNumbers w:val="0"/>
        <w:jc w:val="left"/>
        <w:rPr>
          <w:rFonts w:hint="eastAsia" w:ascii="宋体" w:hAnsi="宋体" w:eastAsia="宋体" w:cs="宋体"/>
        </w:rPr>
      </w:pPr>
    </w:p>
    <w:p w14:paraId="6AA661B9">
      <w:pPr>
        <w:pStyle w:val="3"/>
        <w:keepNext w:val="0"/>
        <w:keepLines w:val="0"/>
        <w:widowControl/>
        <w:suppressLineNumbers w:val="0"/>
        <w:jc w:val="left"/>
        <w:rPr>
          <w:rFonts w:hint="eastAsia" w:ascii="宋体" w:hAnsi="宋体" w:eastAsia="宋体" w:cs="宋体"/>
        </w:rPr>
      </w:pPr>
    </w:p>
    <w:p w14:paraId="350A8F02">
      <w:pPr>
        <w:pStyle w:val="3"/>
        <w:keepNext w:val="0"/>
        <w:keepLines w:val="0"/>
        <w:widowControl/>
        <w:suppressLineNumbers w:val="0"/>
        <w:jc w:val="left"/>
        <w:rPr>
          <w:rFonts w:hint="eastAsia" w:ascii="宋体" w:hAnsi="宋体" w:eastAsia="宋体" w:cs="宋体"/>
        </w:rPr>
      </w:pPr>
    </w:p>
    <w:p w14:paraId="3ED1F042">
      <w:pPr>
        <w:pStyle w:val="3"/>
        <w:keepNext w:val="0"/>
        <w:keepLines w:val="0"/>
        <w:widowControl/>
        <w:suppressLineNumbers w:val="0"/>
        <w:jc w:val="left"/>
        <w:rPr>
          <w:rFonts w:hint="eastAsia" w:ascii="宋体" w:hAnsi="宋体" w:eastAsia="宋体" w:cs="宋体"/>
        </w:rPr>
      </w:pPr>
    </w:p>
    <w:p w14:paraId="44D4D076">
      <w:pPr>
        <w:pStyle w:val="3"/>
        <w:keepNext w:val="0"/>
        <w:keepLines w:val="0"/>
        <w:widowControl/>
        <w:suppressLineNumbers w:val="0"/>
        <w:jc w:val="left"/>
        <w:rPr>
          <w:rFonts w:hint="eastAsia" w:ascii="宋体" w:hAnsi="宋体" w:eastAsia="宋体" w:cs="宋体"/>
        </w:rPr>
      </w:pPr>
      <w:r>
        <w:rPr>
          <w:rFonts w:hint="eastAsia" w:ascii="宋体" w:hAnsi="宋体" w:eastAsia="宋体" w:cs="宋体"/>
        </w:rPr>
        <w:t>模块六 文件体系稽核类（NCR086–NCR100）</w:t>
      </w:r>
    </w:p>
    <w:p w14:paraId="6B249F47">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【NCR086】文件未覆盖仓储EPA</w:t>
      </w:r>
    </w:p>
    <w:p w14:paraId="079F5E1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：现有ESD管理手册、程序文件仅覆盖生产车间工位区域，未对仓储EPA区域、物料存放区、来料待检区、成品仓储区制定对应管控条款，仓储ESD管控无文件依据、无标准支撑。</w:t>
      </w:r>
    </w:p>
    <w:p w14:paraId="5F62663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4.2 体系文件全域覆盖要求</w:t>
      </w:r>
    </w:p>
    <w:p w14:paraId="00B87BA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4.2 ESD管控文件全域覆盖规范</w:t>
      </w:r>
    </w:p>
    <w:p w14:paraId="22E5A46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3F3543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：临时参照生产区域ESD标准落地仓储管控，临时增补仓储稽查检查表，先规范现场作业，规避管控盲区风险。</w:t>
      </w:r>
    </w:p>
    <w:p w14:paraId="1D7A47B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体系文件编制时仅聚焦生产工位，未统筹仓储全域区域；2. 区域拓展、库区改造后未同步更新体系文件；3. 年度体系复盘未排查文件覆盖盲区。</w:t>
      </w:r>
    </w:p>
    <w:p w14:paraId="78BC3BC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修订ESD管理手册，新增仓储EPA专项管控章节，明确库区分级、防护、巡检、存放标准；2. 同步修订仓储作业SOP，统一库区ESD管控流程；3. 将文件全域覆盖性纳入年度内审必查项。</w:t>
      </w:r>
    </w:p>
    <w:p w14:paraId="78D525B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：体系文件已完成修订，完整覆盖生产、仓储全EPA区域，库区管控有标准、有依据、可落地。</w:t>
      </w:r>
    </w:p>
    <w:p w14:paraId="3D177EF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：区域变更、新增库区后同步评审更新文件，杜绝管控盲区。</w:t>
      </w:r>
    </w:p>
    <w:p w14:paraId="5C5BE7F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：体系文件全域覆盖闭环，体系合规，可结案。</w:t>
      </w:r>
    </w:p>
    <w:p w14:paraId="4154F4E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：仓储为物料静置、批量存放核心区域，静置累积静电损伤往往比制程损伤更具批量性。文件未覆盖导致库区长期无标准、无稽查、无管控，属于体系结构性漏洞，极易引发批量物料隐性不良。</w:t>
      </w:r>
    </w:p>
    <w:p w14:paraId="52D9483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划分仓储EPA等级分区，文件明确差异化管控标准；2. 建立仓储专项ESD稽核计划，独立复盘；3. 库区作业人员配套专项文件培训。</w:t>
      </w:r>
    </w:p>
    <w:p w14:paraId="07789A73">
      <w:pPr>
        <w:pStyle w:val="4"/>
        <w:keepNext w:val="0"/>
        <w:keepLines w:val="0"/>
        <w:widowControl/>
        <w:suppressLineNumbers w:val="0"/>
        <w:jc w:val="left"/>
        <w:rPr>
          <w:rFonts w:hint="eastAsia" w:ascii="宋体" w:hAnsi="宋体" w:eastAsia="宋体" w:cs="宋体"/>
        </w:rPr>
      </w:pPr>
    </w:p>
    <w:p w14:paraId="3B0E2F50">
      <w:pPr>
        <w:pStyle w:val="4"/>
        <w:keepNext w:val="0"/>
        <w:keepLines w:val="0"/>
        <w:widowControl/>
        <w:suppressLineNumbers w:val="0"/>
        <w:jc w:val="left"/>
        <w:rPr>
          <w:rFonts w:hint="eastAsia" w:ascii="宋体" w:hAnsi="宋体" w:eastAsia="宋体" w:cs="宋体"/>
        </w:rPr>
      </w:pPr>
    </w:p>
    <w:p w14:paraId="5ACDBD34">
      <w:pPr>
        <w:pStyle w:val="4"/>
        <w:keepNext w:val="0"/>
        <w:keepLines w:val="0"/>
        <w:widowControl/>
        <w:suppressLineNumbers w:val="0"/>
        <w:jc w:val="left"/>
        <w:rPr>
          <w:rFonts w:hint="eastAsia" w:ascii="宋体" w:hAnsi="宋体" w:eastAsia="宋体" w:cs="宋体"/>
        </w:rPr>
      </w:pPr>
    </w:p>
    <w:p w14:paraId="671D2C5A">
      <w:pPr>
        <w:pStyle w:val="4"/>
        <w:keepNext w:val="0"/>
        <w:keepLines w:val="0"/>
        <w:widowControl/>
        <w:suppressLineNumbers w:val="0"/>
        <w:jc w:val="left"/>
        <w:rPr>
          <w:rFonts w:hint="eastAsia" w:ascii="宋体" w:hAnsi="宋体" w:eastAsia="宋体" w:cs="宋体"/>
        </w:rPr>
      </w:pPr>
    </w:p>
    <w:p w14:paraId="6446AC26">
      <w:pPr>
        <w:pStyle w:val="4"/>
        <w:keepNext w:val="0"/>
        <w:keepLines w:val="0"/>
        <w:widowControl/>
        <w:suppressLineNumbers w:val="0"/>
        <w:jc w:val="left"/>
        <w:rPr>
          <w:rFonts w:hint="eastAsia" w:ascii="宋体" w:hAnsi="宋体" w:eastAsia="宋体" w:cs="宋体"/>
        </w:rPr>
      </w:pPr>
    </w:p>
    <w:p w14:paraId="6E42662A">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【NCR087】风险评估缺失设备静电</w:t>
      </w:r>
    </w:p>
    <w:p w14:paraId="75771C2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：年度ESD风险评估报告仅针对人员、物料、环境开展评估，未纳入设备静电风险、设备接地风险、设备老化衰减风险，风险评估维度不全，无法识别设备类系统性隐患。</w:t>
      </w:r>
    </w:p>
    <w:p w14:paraId="183E426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4.3 全方位风险评估管控要求</w:t>
      </w:r>
    </w:p>
    <w:p w14:paraId="69D8C27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4.3 ESD全要素风险评估规范</w:t>
      </w:r>
    </w:p>
    <w:p w14:paraId="47D3BC77">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93DD0B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：临时补充设备静电风险专项排查，对设备接地、表面电阻、老化衰减全面筛查，临时整改高风险点位。</w:t>
      </w:r>
    </w:p>
    <w:p w14:paraId="337EA60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风险评估模板不完善，缺失设备维度评估项；2. 管理人员认知不足，未将设备纳入ESD核心风险源；3. 历年评估未复盘维度完整性，长期存在评估盲区。</w:t>
      </w:r>
    </w:p>
    <w:p w14:paraId="72B9B03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优化年度风险评估模板，新增设备静电、接地、老化、维保专项评估维度；2. 建立设备风险分级机制，高风险设备重点管控；3. 每年度完成全域设备ESD风险识别与整改闭环。</w:t>
      </w:r>
    </w:p>
    <w:p w14:paraId="40F38DF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：风险评估维度完整，已全覆盖人员、物料、环境、设备四大核心要素，设备风险全部识别并闭环整改。</w:t>
      </w:r>
    </w:p>
    <w:p w14:paraId="65AE661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：固定评估模板，年度复盘优化，保证评估全面无死角。</w:t>
      </w:r>
    </w:p>
    <w:p w14:paraId="5D0C8AF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：风险评估体系完善，全要素管控闭环，可结案。</w:t>
      </w:r>
    </w:p>
    <w:p w14:paraId="799DE00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：设备接地异常、工装老化、治具绝缘衰减是系统性ESD不良的主要源头，单一人、料、环评估无法覆盖设备结构性风险，会导致设备类隐患长期潜伏、集中爆发，引发批量质量事故。</w:t>
      </w:r>
    </w:p>
    <w:p w14:paraId="55D59D4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按设备工位、使用年限、风险等级分层评估；2. 风险评估结果联动维保、校准计划；3. 建立设备风险整改台账，逐条闭环。</w:t>
      </w:r>
    </w:p>
    <w:p w14:paraId="43868EAF">
      <w:pPr>
        <w:pStyle w:val="4"/>
        <w:keepNext w:val="0"/>
        <w:keepLines w:val="0"/>
        <w:widowControl/>
        <w:suppressLineNumbers w:val="0"/>
        <w:jc w:val="left"/>
        <w:rPr>
          <w:rFonts w:hint="eastAsia" w:ascii="宋体" w:hAnsi="宋体" w:eastAsia="宋体" w:cs="宋体"/>
        </w:rPr>
      </w:pPr>
    </w:p>
    <w:p w14:paraId="0067F631">
      <w:pPr>
        <w:pStyle w:val="4"/>
        <w:keepNext w:val="0"/>
        <w:keepLines w:val="0"/>
        <w:widowControl/>
        <w:suppressLineNumbers w:val="0"/>
        <w:jc w:val="left"/>
        <w:rPr>
          <w:rFonts w:hint="eastAsia" w:ascii="宋体" w:hAnsi="宋体" w:eastAsia="宋体" w:cs="宋体"/>
        </w:rPr>
      </w:pPr>
    </w:p>
    <w:p w14:paraId="3E0516F2">
      <w:pPr>
        <w:pStyle w:val="4"/>
        <w:keepNext w:val="0"/>
        <w:keepLines w:val="0"/>
        <w:widowControl/>
        <w:suppressLineNumbers w:val="0"/>
        <w:jc w:val="left"/>
        <w:rPr>
          <w:rFonts w:hint="eastAsia" w:ascii="宋体" w:hAnsi="宋体" w:eastAsia="宋体" w:cs="宋体"/>
        </w:rPr>
      </w:pPr>
    </w:p>
    <w:p w14:paraId="7E4AF75C">
      <w:pPr>
        <w:pStyle w:val="4"/>
        <w:keepNext w:val="0"/>
        <w:keepLines w:val="0"/>
        <w:widowControl/>
        <w:suppressLineNumbers w:val="0"/>
        <w:jc w:val="left"/>
        <w:rPr>
          <w:rFonts w:hint="eastAsia" w:ascii="宋体" w:hAnsi="宋体" w:eastAsia="宋体" w:cs="宋体"/>
        </w:rPr>
      </w:pPr>
    </w:p>
    <w:p w14:paraId="01B2AF20">
      <w:pPr>
        <w:pStyle w:val="4"/>
        <w:keepNext w:val="0"/>
        <w:keepLines w:val="0"/>
        <w:widowControl/>
        <w:suppressLineNumbers w:val="0"/>
        <w:jc w:val="left"/>
        <w:rPr>
          <w:rFonts w:hint="eastAsia" w:ascii="宋体" w:hAnsi="宋体" w:eastAsia="宋体" w:cs="宋体"/>
        </w:rPr>
      </w:pPr>
    </w:p>
    <w:p w14:paraId="53A77097">
      <w:pPr>
        <w:pStyle w:val="4"/>
        <w:keepNext w:val="0"/>
        <w:keepLines w:val="0"/>
        <w:widowControl/>
        <w:suppressLineNumbers w:val="0"/>
        <w:jc w:val="left"/>
        <w:rPr>
          <w:rFonts w:hint="eastAsia" w:ascii="宋体" w:hAnsi="宋体" w:eastAsia="宋体" w:cs="宋体"/>
        </w:rPr>
      </w:pPr>
    </w:p>
    <w:p w14:paraId="75FCFD89">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【NCR088】ESD设备台账不全</w:t>
      </w:r>
    </w:p>
    <w:p w14:paraId="49493C2F">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：车间ESD防护设备、检测设备、接地设备台账信息缺失，部分老旧设备、新增设备未建档，设备编号、参数、周期、责任人信息不全，无法实现全域设备溯源管控。</w:t>
      </w:r>
    </w:p>
    <w:p w14:paraId="5EA3950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4.4 设备台账溯源管控要求</w:t>
      </w:r>
    </w:p>
    <w:p w14:paraId="2861463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4.4 ESD设备台账管理规范</w:t>
      </w:r>
    </w:p>
    <w:p w14:paraId="22E167D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6DDC9FA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：立即开展全域设备盘点，补录遗漏设备信息，临时完善现有台账关键字段，确保在用设备全部在册。</w:t>
      </w:r>
    </w:p>
    <w:p w14:paraId="13020F9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设备新增、改造、报废未同步更新台账；2. 台账字段不完整，缺少周期、责任人、性能参数等关键信息；3. 无季度设备盘点对账机制，账物不符。</w:t>
      </w:r>
    </w:p>
    <w:p w14:paraId="4562D29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重建标准化ESD设备总台账，涵盖所有防护、检测、接地、工装设备；2. 固定台账关键字段：编号、位置、周期、责任人、状态、记录；3. 季度账物核对，新增报废即时更新，保证账物一致。</w:t>
      </w:r>
    </w:p>
    <w:p w14:paraId="01D22BF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：全域ESD设备台账完整、账物相符，所有设备建档可追溯，字段齐全、管控精准。</w:t>
      </w:r>
    </w:p>
    <w:p w14:paraId="4BA74EF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：常态化对账更新，杜绝漏档、错档、无档设备。</w:t>
      </w:r>
    </w:p>
    <w:p w14:paraId="359624F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：设备台账管控体系闭环，合规达标，可结案。</w:t>
      </w:r>
    </w:p>
    <w:p w14:paraId="7EDE120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：台账不全直接导致设备校准、维保、点检无依据，漏校、失保、失效设备无法预警，现场设备管控处于失控状态，是ESD体系基础合规性重大缺失，审厂重点扣分项。</w:t>
      </w:r>
    </w:p>
    <w:p w14:paraId="026F0B6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实行电子化台账管理，自动预警到期事项；2. 设备一物一档、编号唯一，全域统一编码规则；3. 台账与校准、维保、点检记录联动归档。</w:t>
      </w:r>
    </w:p>
    <w:p w14:paraId="3C229E63">
      <w:pPr>
        <w:pStyle w:val="4"/>
        <w:keepNext w:val="0"/>
        <w:keepLines w:val="0"/>
        <w:widowControl/>
        <w:suppressLineNumbers w:val="0"/>
        <w:jc w:val="left"/>
        <w:rPr>
          <w:rFonts w:hint="eastAsia" w:ascii="宋体" w:hAnsi="宋体" w:eastAsia="宋体" w:cs="宋体"/>
        </w:rPr>
      </w:pPr>
    </w:p>
    <w:p w14:paraId="10E68330">
      <w:pPr>
        <w:pStyle w:val="4"/>
        <w:keepNext w:val="0"/>
        <w:keepLines w:val="0"/>
        <w:widowControl/>
        <w:suppressLineNumbers w:val="0"/>
        <w:jc w:val="left"/>
        <w:rPr>
          <w:rFonts w:hint="eastAsia" w:ascii="宋体" w:hAnsi="宋体" w:eastAsia="宋体" w:cs="宋体"/>
        </w:rPr>
      </w:pPr>
    </w:p>
    <w:p w14:paraId="5FCB524A">
      <w:pPr>
        <w:pStyle w:val="4"/>
        <w:keepNext w:val="0"/>
        <w:keepLines w:val="0"/>
        <w:widowControl/>
        <w:suppressLineNumbers w:val="0"/>
        <w:jc w:val="left"/>
        <w:rPr>
          <w:rFonts w:hint="eastAsia" w:ascii="宋体" w:hAnsi="宋体" w:eastAsia="宋体" w:cs="宋体"/>
        </w:rPr>
      </w:pPr>
    </w:p>
    <w:p w14:paraId="767DE694">
      <w:pPr>
        <w:pStyle w:val="4"/>
        <w:keepNext w:val="0"/>
        <w:keepLines w:val="0"/>
        <w:widowControl/>
        <w:suppressLineNumbers w:val="0"/>
        <w:jc w:val="left"/>
        <w:rPr>
          <w:rFonts w:hint="eastAsia" w:ascii="宋体" w:hAnsi="宋体" w:eastAsia="宋体" w:cs="宋体"/>
        </w:rPr>
      </w:pPr>
    </w:p>
    <w:p w14:paraId="6F18A854">
      <w:pPr>
        <w:pStyle w:val="4"/>
        <w:keepNext w:val="0"/>
        <w:keepLines w:val="0"/>
        <w:widowControl/>
        <w:suppressLineNumbers w:val="0"/>
        <w:jc w:val="left"/>
        <w:rPr>
          <w:rFonts w:hint="eastAsia" w:ascii="宋体" w:hAnsi="宋体" w:eastAsia="宋体" w:cs="宋体"/>
        </w:rPr>
      </w:pPr>
    </w:p>
    <w:p w14:paraId="1F815DCA">
      <w:pPr>
        <w:pStyle w:val="4"/>
        <w:keepNext w:val="0"/>
        <w:keepLines w:val="0"/>
        <w:widowControl/>
        <w:suppressLineNumbers w:val="0"/>
        <w:jc w:val="left"/>
        <w:rPr>
          <w:rFonts w:hint="eastAsia" w:ascii="宋体" w:hAnsi="宋体" w:eastAsia="宋体" w:cs="宋体"/>
        </w:rPr>
      </w:pPr>
    </w:p>
    <w:p w14:paraId="0EDD1FD3">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【NCR089】检查表未更新2021标准</w:t>
      </w:r>
    </w:p>
    <w:p w14:paraId="5C905C63">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：现场ESD日常稽查、点检检查表仍沿用旧版标准，未同步更新适配ANSI/ESD S20.20-2021新版要求，检查项目老旧、条款缺失，无法匹配现行合规标准。</w:t>
      </w:r>
    </w:p>
    <w:p w14:paraId="1C218EB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4.2 文件标准版本适配要求</w:t>
      </w:r>
    </w:p>
    <w:p w14:paraId="2A43590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4.2 稽核表单版本更新规范</w:t>
      </w:r>
    </w:p>
    <w:p w14:paraId="5F5E4FF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69085E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：立即停用旧版检查表，临时启用新版对标检查表，按2021标准全覆盖稽查，补查前期遗漏项目。</w:t>
      </w:r>
    </w:p>
    <w:p w14:paraId="4DB0CB1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标准更新后未同步迭代现场点检表单；2. 品质稽核未对标最新行业标准更新检查项；3. 无表单版本定期评审更新机制。</w:t>
      </w:r>
    </w:p>
    <w:p w14:paraId="70EAFE0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全面改版所有ESD点检、稽查、巡检表单，100%对标2021版标准+2024IEC标准；2. 建立表单年度评审机制，标准更新同步迭代表单；3. 作废旧版表单，统一新版版本管控。</w:t>
      </w:r>
    </w:p>
    <w:p w14:paraId="5488CA9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：所有现场检查表、点检表均已更新为最新标准版本，检查项目完整、条款匹配现行标准，无老旧表单使用。</w:t>
      </w:r>
    </w:p>
    <w:p w14:paraId="743C7FD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：标准更新即时对标迭代表单，年度固定评审版本有效性。</w:t>
      </w:r>
    </w:p>
    <w:p w14:paraId="3F4A6CA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：稽核表单版本合规，检查标准统一闭环，可结案。</w:t>
      </w:r>
    </w:p>
    <w:p w14:paraId="6C52BFA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：旧版检查表存在项目缺失、标准偏低、条款滞后问题，会导致新版标准要求的关键项长期漏检，现场看似每日稽查，实际完全未达标新版体系要求，形成体系虚假合规。</w:t>
      </w:r>
    </w:p>
    <w:p w14:paraId="512679B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表单标注对应标准条款号，做到有据可查；2. 新旧版本差异整理成册，全员培训宣导；3. 定期抽查表单执行匹配度。</w:t>
      </w:r>
    </w:p>
    <w:p w14:paraId="7F2E1D01">
      <w:pPr>
        <w:pStyle w:val="4"/>
        <w:keepNext w:val="0"/>
        <w:keepLines w:val="0"/>
        <w:widowControl/>
        <w:suppressLineNumbers w:val="0"/>
        <w:jc w:val="left"/>
        <w:rPr>
          <w:rFonts w:hint="eastAsia" w:ascii="宋体" w:hAnsi="宋体" w:eastAsia="宋体" w:cs="宋体"/>
        </w:rPr>
      </w:pPr>
    </w:p>
    <w:p w14:paraId="51EFED10">
      <w:pPr>
        <w:pStyle w:val="4"/>
        <w:keepNext w:val="0"/>
        <w:keepLines w:val="0"/>
        <w:widowControl/>
        <w:suppressLineNumbers w:val="0"/>
        <w:jc w:val="left"/>
        <w:rPr>
          <w:rFonts w:hint="eastAsia" w:ascii="宋体" w:hAnsi="宋体" w:eastAsia="宋体" w:cs="宋体"/>
        </w:rPr>
      </w:pPr>
    </w:p>
    <w:p w14:paraId="613273FF">
      <w:pPr>
        <w:pStyle w:val="4"/>
        <w:keepNext w:val="0"/>
        <w:keepLines w:val="0"/>
        <w:widowControl/>
        <w:suppressLineNumbers w:val="0"/>
        <w:jc w:val="left"/>
        <w:rPr>
          <w:rFonts w:hint="eastAsia" w:ascii="宋体" w:hAnsi="宋体" w:eastAsia="宋体" w:cs="宋体"/>
        </w:rPr>
      </w:pPr>
    </w:p>
    <w:p w14:paraId="0D356268">
      <w:pPr>
        <w:pStyle w:val="4"/>
        <w:keepNext w:val="0"/>
        <w:keepLines w:val="0"/>
        <w:widowControl/>
        <w:suppressLineNumbers w:val="0"/>
        <w:jc w:val="left"/>
        <w:rPr>
          <w:rFonts w:hint="eastAsia" w:ascii="宋体" w:hAnsi="宋体" w:eastAsia="宋体" w:cs="宋体"/>
        </w:rPr>
      </w:pPr>
    </w:p>
    <w:p w14:paraId="3E81BED3">
      <w:pPr>
        <w:pStyle w:val="4"/>
        <w:keepNext w:val="0"/>
        <w:keepLines w:val="0"/>
        <w:widowControl/>
        <w:suppressLineNumbers w:val="0"/>
        <w:jc w:val="left"/>
        <w:rPr>
          <w:rFonts w:hint="eastAsia" w:ascii="宋体" w:hAnsi="宋体" w:eastAsia="宋体" w:cs="宋体"/>
        </w:rPr>
      </w:pPr>
    </w:p>
    <w:p w14:paraId="32676BAA">
      <w:pPr>
        <w:pStyle w:val="4"/>
        <w:keepNext w:val="0"/>
        <w:keepLines w:val="0"/>
        <w:widowControl/>
        <w:suppressLineNumbers w:val="0"/>
        <w:jc w:val="left"/>
        <w:rPr>
          <w:rFonts w:hint="eastAsia" w:ascii="宋体" w:hAnsi="宋体" w:eastAsia="宋体" w:cs="宋体"/>
        </w:rPr>
      </w:pPr>
    </w:p>
    <w:p w14:paraId="33A64C85">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【NCR090】无年度内审计划</w:t>
      </w:r>
    </w:p>
    <w:p w14:paraId="7A7747D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：公司未制定ESD体系年度内审计划，无固定内审周期、无审核范围、无审核安排，体系内审工作无规划、无落地，无法实现体系自我纠错与持续改善。</w:t>
      </w:r>
    </w:p>
    <w:p w14:paraId="0A38310E">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4.6 年度内审策划要求</w:t>
      </w:r>
    </w:p>
    <w:p w14:paraId="73D619B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4.6 ESD体系内审策划规范</w:t>
      </w:r>
    </w:p>
    <w:p w14:paraId="29C5720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0C3A5575">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：立即补做本年度ESD专项内审，全覆盖全模块排查问题，临时建立内审问题整改台账，闭环现有隐患。</w:t>
      </w:r>
    </w:p>
    <w:p w14:paraId="17FC0A7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体系管理人员未建立年度内审策划意识；2. 无固定内审制度要求，未将内审纳入年度体系工作；3. 缺乏体系自我完善、持续改进的管理机制。</w:t>
      </w:r>
    </w:p>
    <w:p w14:paraId="7BE3EDB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每年年初制定正式ESD年度内审计划，明确时间、范围、人员、准则；2. 固定年度1次全面内审+季度专项抽检审核；3. 内审结果纳入体系复盘与年度改善重点。</w:t>
      </w:r>
    </w:p>
    <w:p w14:paraId="4E4F3348">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：已建立标准化年度内审计划，本年度内审已完成，问题全部闭环，体系审核机制常态化落地。</w:t>
      </w:r>
    </w:p>
    <w:p w14:paraId="183DE359">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：每年固定周期策划内审，杜绝无计划、无审核、无复盘。</w:t>
      </w:r>
    </w:p>
    <w:p w14:paraId="3B98DEA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：内审策划机制完善，体系自我纠错闭环，可结案。</w:t>
      </w:r>
    </w:p>
    <w:p w14:paraId="57997B0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：年度内审是ESD体系持续合规的核心机制，无内审计划会导致体系问题长期累积、无法自查，小隐患演变为系统性漏洞，客户审厂、第三方稽核会直接判定体系运行失效。</w:t>
      </w:r>
    </w:p>
    <w:p w14:paraId="7691C57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内审计划纳入公司年度质量体系总计划；2. 内审采用双标准对标审核，覆盖全部条款；3. 建立内审、整改、复盘、预防标准化流程。</w:t>
      </w:r>
    </w:p>
    <w:p w14:paraId="5CFA87E9">
      <w:pPr>
        <w:pStyle w:val="4"/>
        <w:keepNext w:val="0"/>
        <w:keepLines w:val="0"/>
        <w:widowControl/>
        <w:suppressLineNumbers w:val="0"/>
        <w:jc w:val="left"/>
        <w:rPr>
          <w:rFonts w:hint="eastAsia" w:ascii="宋体" w:hAnsi="宋体" w:eastAsia="宋体" w:cs="宋体"/>
        </w:rPr>
      </w:pPr>
    </w:p>
    <w:p w14:paraId="320487DA">
      <w:pPr>
        <w:pStyle w:val="4"/>
        <w:keepNext w:val="0"/>
        <w:keepLines w:val="0"/>
        <w:widowControl/>
        <w:suppressLineNumbers w:val="0"/>
        <w:jc w:val="left"/>
        <w:rPr>
          <w:rFonts w:hint="eastAsia" w:ascii="宋体" w:hAnsi="宋体" w:eastAsia="宋体" w:cs="宋体"/>
        </w:rPr>
      </w:pPr>
    </w:p>
    <w:p w14:paraId="64EAA7EC">
      <w:pPr>
        <w:pStyle w:val="4"/>
        <w:keepNext w:val="0"/>
        <w:keepLines w:val="0"/>
        <w:widowControl/>
        <w:suppressLineNumbers w:val="0"/>
        <w:jc w:val="left"/>
        <w:rPr>
          <w:rFonts w:hint="eastAsia" w:ascii="宋体" w:hAnsi="宋体" w:eastAsia="宋体" w:cs="宋体"/>
        </w:rPr>
      </w:pPr>
    </w:p>
    <w:p w14:paraId="28FB75A9">
      <w:pPr>
        <w:pStyle w:val="4"/>
        <w:keepNext w:val="0"/>
        <w:keepLines w:val="0"/>
        <w:widowControl/>
        <w:suppressLineNumbers w:val="0"/>
        <w:jc w:val="left"/>
        <w:rPr>
          <w:rFonts w:hint="eastAsia" w:ascii="宋体" w:hAnsi="宋体" w:eastAsia="宋体" w:cs="宋体"/>
        </w:rPr>
      </w:pPr>
    </w:p>
    <w:p w14:paraId="5FA86B82">
      <w:pPr>
        <w:pStyle w:val="4"/>
        <w:keepNext w:val="0"/>
        <w:keepLines w:val="0"/>
        <w:widowControl/>
        <w:suppressLineNumbers w:val="0"/>
        <w:jc w:val="left"/>
        <w:rPr>
          <w:rFonts w:hint="eastAsia" w:ascii="宋体" w:hAnsi="宋体" w:eastAsia="宋体" w:cs="宋体"/>
        </w:rPr>
      </w:pPr>
    </w:p>
    <w:p w14:paraId="6FBA9E7D">
      <w:pPr>
        <w:pStyle w:val="4"/>
        <w:keepNext w:val="0"/>
        <w:keepLines w:val="0"/>
        <w:widowControl/>
        <w:suppressLineNumbers w:val="0"/>
        <w:jc w:val="left"/>
        <w:rPr>
          <w:rFonts w:hint="eastAsia" w:ascii="宋体" w:hAnsi="宋体" w:eastAsia="宋体" w:cs="宋体"/>
        </w:rPr>
      </w:pPr>
    </w:p>
    <w:p w14:paraId="0F7D368A">
      <w:pPr>
        <w:pStyle w:val="4"/>
        <w:keepNext w:val="0"/>
        <w:keepLines w:val="0"/>
        <w:widowControl/>
        <w:suppressLineNumbers w:val="0"/>
        <w:jc w:val="left"/>
        <w:rPr>
          <w:rFonts w:hint="eastAsia" w:ascii="宋体" w:hAnsi="宋体" w:eastAsia="宋体" w:cs="宋体"/>
        </w:rPr>
      </w:pPr>
      <w:r>
        <w:rPr>
          <w:rFonts w:hint="eastAsia" w:ascii="宋体" w:hAnsi="宋体" w:eastAsia="宋体" w:cs="宋体"/>
        </w:rPr>
        <w:t>【NCR091】内审问题未闭环8D</w:t>
      </w:r>
    </w:p>
    <w:p w14:paraId="0174B920">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问题描述</w:t>
      </w:r>
      <w:r>
        <w:rPr>
          <w:rFonts w:hint="eastAsia" w:ascii="宋体" w:hAnsi="宋体" w:eastAsia="宋体" w:cs="宋体"/>
          <w:kern w:val="0"/>
          <w:sz w:val="24"/>
          <w:szCs w:val="24"/>
          <w:lang w:val="en-US" w:eastAsia="zh-CN" w:bidi="ar"/>
        </w:rPr>
        <w:t>：往期ESD内审开出的不符合项，未按8D报告要求完成根本原因分析、永久改善、效果验证，问题仅临时整改，未彻底闭环，同类问题反复复发。</w:t>
      </w:r>
    </w:p>
    <w:p w14:paraId="5772A7E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：ANSI/ESD S20.20-2021 4.6 不符合项闭环改善要求</w:t>
      </w:r>
    </w:p>
    <w:p w14:paraId="67D8CC32">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不符合标准条款</w:t>
      </w:r>
      <w:r>
        <w:rPr>
          <w:rFonts w:hint="eastAsia" w:ascii="宋体" w:hAnsi="宋体" w:eastAsia="宋体" w:cs="宋体"/>
          <w:kern w:val="0"/>
          <w:sz w:val="24"/>
          <w:szCs w:val="24"/>
          <w:lang w:val="en-US" w:eastAsia="zh-CN" w:bidi="ar"/>
        </w:rPr>
        <w:t>：IEC 61340-5-1:2024 4.6 体系问题纠正预防规范</w:t>
      </w:r>
    </w:p>
    <w:p w14:paraId="729A2A64">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严重程度</w:t>
      </w:r>
      <w:r>
        <w:rPr>
          <w:rFonts w:hint="eastAsia" w:ascii="宋体" w:hAnsi="宋体" w:eastAsia="宋体" w:cs="宋体"/>
          <w:kern w:val="0"/>
          <w:sz w:val="24"/>
          <w:szCs w:val="24"/>
          <w:lang w:val="en-US" w:eastAsia="zh-CN" w:bidi="ar"/>
        </w:rPr>
        <w:t>：一般不符合（Minor）</w:t>
      </w:r>
    </w:p>
    <w:p w14:paraId="4C2E19D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临时遏制措施</w:t>
      </w:r>
      <w:r>
        <w:rPr>
          <w:rFonts w:hint="eastAsia" w:ascii="宋体" w:hAnsi="宋体" w:eastAsia="宋体" w:cs="宋体"/>
          <w:kern w:val="0"/>
          <w:sz w:val="24"/>
          <w:szCs w:val="24"/>
          <w:lang w:val="en-US" w:eastAsia="zh-CN" w:bidi="ar"/>
        </w:rPr>
        <w:t>：立即梳理所有内审未闭环问题，逐条补做8D分析、整改验证，短期清零所有遗留问题。</w:t>
      </w:r>
    </w:p>
    <w:p w14:paraId="7816B45A">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根本原因分析</w:t>
      </w:r>
      <w:r>
        <w:rPr>
          <w:rFonts w:hint="eastAsia" w:ascii="宋体" w:hAnsi="宋体" w:eastAsia="宋体" w:cs="宋体"/>
          <w:kern w:val="0"/>
          <w:sz w:val="24"/>
          <w:szCs w:val="24"/>
          <w:lang w:val="en-US" w:eastAsia="zh-CN" w:bidi="ar"/>
        </w:rPr>
        <w:t>：1. 内审问题整改要求不明确，未强制8D闭环标准；2. 整改过程无监督、无验证，仅做表面整改；3. 无问题逾期考核机制，导致长期遗留积压。</w:t>
      </w:r>
    </w:p>
    <w:p w14:paraId="0E57BC4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永久改善对策</w:t>
      </w:r>
      <w:r>
        <w:rPr>
          <w:rFonts w:hint="eastAsia" w:ascii="宋体" w:hAnsi="宋体" w:eastAsia="宋体" w:cs="宋体"/>
          <w:kern w:val="0"/>
          <w:sz w:val="24"/>
          <w:szCs w:val="24"/>
          <w:lang w:val="en-US" w:eastAsia="zh-CN" w:bidi="ar"/>
        </w:rPr>
        <w:t>：1. 明确所有内审不符合项必须100%出具8D改善报告，闭环方可结项；2. 建立问题整改跟踪台账，设定整改期限、验证节点；3. 逾期未闭环纳入部门绩效考核，杜绝遗留问题。</w:t>
      </w:r>
    </w:p>
    <w:p w14:paraId="30647436">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实施验证</w:t>
      </w:r>
      <w:r>
        <w:rPr>
          <w:rFonts w:hint="eastAsia" w:ascii="宋体" w:hAnsi="宋体" w:eastAsia="宋体" w:cs="宋体"/>
          <w:kern w:val="0"/>
          <w:sz w:val="24"/>
          <w:szCs w:val="24"/>
          <w:lang w:val="en-US" w:eastAsia="zh-CN" w:bidi="ar"/>
        </w:rPr>
        <w:t>：所有历史内审问题全部完成8D闭环整改，验证有效，无遗留逾期问题，整改流程标准化落地。</w:t>
      </w:r>
    </w:p>
    <w:p w14:paraId="3597324C">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预防再发</w:t>
      </w:r>
      <w:r>
        <w:rPr>
          <w:rFonts w:hint="eastAsia" w:ascii="宋体" w:hAnsi="宋体" w:eastAsia="宋体" w:cs="宋体"/>
          <w:kern w:val="0"/>
          <w:sz w:val="24"/>
          <w:szCs w:val="24"/>
          <w:lang w:val="en-US" w:eastAsia="zh-CN" w:bidi="ar"/>
        </w:rPr>
        <w:t>：新问题随出随改、按期闭环，杜绝问题积压、整改不到位。</w:t>
      </w:r>
    </w:p>
    <w:p w14:paraId="529507DD">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结案结论</w:t>
      </w:r>
      <w:r>
        <w:rPr>
          <w:rFonts w:hint="eastAsia" w:ascii="宋体" w:hAnsi="宋体" w:eastAsia="宋体" w:cs="宋体"/>
          <w:kern w:val="0"/>
          <w:sz w:val="24"/>
          <w:szCs w:val="24"/>
          <w:lang w:val="en-US" w:eastAsia="zh-CN" w:bidi="ar"/>
        </w:rPr>
        <w:t>：内审问题改善闭环，纠正预防机制有效，可结案。</w:t>
      </w:r>
    </w:p>
    <w:p w14:paraId="30733001">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单项问题深度分析</w:t>
      </w:r>
      <w:r>
        <w:rPr>
          <w:rFonts w:hint="eastAsia" w:ascii="宋体" w:hAnsi="宋体" w:eastAsia="宋体" w:cs="宋体"/>
          <w:kern w:val="0"/>
          <w:sz w:val="24"/>
          <w:szCs w:val="24"/>
          <w:lang w:val="en-US" w:eastAsia="zh-CN" w:bidi="ar"/>
        </w:rPr>
        <w:t>：无8D深度闭环仅能解决表面现象，无法根除根本原因，同类违规、设备隐患、文件漏洞会反复发生，导致ESD体系原地踏步、无法持续优化，失去体系运行意义。</w:t>
      </w:r>
    </w:p>
    <w:p w14:paraId="1854429B">
      <w:pPr>
        <w:keepNext w:val="0"/>
        <w:keepLines w:val="0"/>
        <w:widowControl/>
        <w:suppressLineNumbers w:val="0"/>
        <w:jc w:val="left"/>
        <w:rPr>
          <w:rFonts w:hint="eastAsia" w:ascii="宋体" w:hAnsi="宋体" w:eastAsia="宋体" w:cs="宋体"/>
        </w:rPr>
      </w:pPr>
      <w:r>
        <w:rPr>
          <w:rStyle w:val="9"/>
          <w:rFonts w:hint="eastAsia" w:ascii="宋体" w:hAnsi="宋体" w:eastAsia="宋体" w:cs="宋体"/>
          <w:kern w:val="0"/>
          <w:sz w:val="24"/>
          <w:szCs w:val="24"/>
          <w:lang w:val="en-US" w:eastAsia="zh-CN" w:bidi="ar"/>
        </w:rPr>
        <w:t>专项优化提升建议</w:t>
      </w:r>
      <w:r>
        <w:rPr>
          <w:rFonts w:hint="eastAsia" w:ascii="宋体" w:hAnsi="宋体" w:eastAsia="宋体" w:cs="宋体"/>
          <w:kern w:val="0"/>
          <w:sz w:val="24"/>
          <w:szCs w:val="24"/>
          <w:lang w:val="en-US" w:eastAsia="zh-CN" w:bidi="ar"/>
        </w:rPr>
        <w:t>：1. 统一8D报告模板，规范ESD专项改善逻辑；2. 定期复盘重复问题，专项立项优化；3. 整改效果纳入年度体系评分。</w:t>
      </w:r>
    </w:p>
    <w:p w14:paraId="7F182DDE">
      <w:pPr>
        <w:rPr>
          <w:rFonts w:hint="eastAsia" w:ascii="宋体" w:hAnsi="宋体" w:eastAsia="宋体" w:cs="宋体"/>
        </w:rPr>
      </w:pPr>
    </w:p>
    <w:p w14:paraId="39880CB4">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3F5667BA">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4A307602">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0D9D1D61">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76D0CB56">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58B8A4A4">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EE89401">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r>
        <w:rPr>
          <w:rFonts w:hint="eastAsia" w:ascii="宋体" w:hAnsi="宋体" w:eastAsia="宋体" w:cs="宋体"/>
          <w:b/>
          <w:bCs/>
          <w:kern w:val="0"/>
          <w:sz w:val="27"/>
          <w:szCs w:val="27"/>
          <w:lang w:val="en-US" w:eastAsia="zh-CN" w:bidi="ar"/>
        </w:rPr>
        <w:t>【NCR092】SOP缺失离子风机点检</w:t>
      </w:r>
    </w:p>
    <w:p w14:paraId="0921D35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问题描述：车间现有设备点检SOP、岗位作业指导书未明确离子风机日常点检项目、点检频次及判定标准，未涵盖离子平衡度、风速、清洁状态、运行异响、除电性能等关键核查内容，现场点检无标准化依据，存在漏检、点检流于形式的问题，易导致离子风机失效未及时发现，引发静电残留超标。</w:t>
      </w:r>
    </w:p>
    <w:p w14:paraId="7B84EC89">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不符合标准条款：ANSI/ESD S20.20-2021 6.4 静电消除设备日常运维点检规范</w:t>
      </w:r>
    </w:p>
    <w:p w14:paraId="22AE27B6">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不符合标准条款：IEC 61340-5-1:2024 6.4 离子发生设备定期核查与管控要求</w:t>
      </w:r>
    </w:p>
    <w:p w14:paraId="7925855D">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严重程度：一般不符合（Minor）</w:t>
      </w:r>
    </w:p>
    <w:p w14:paraId="1CF81276">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临时遏制措施：立即开展全场离子风机专项人工排查，逐台检查设备运行状态、清洁度及除电效果，对积尘严重、运行异常、除电失效的设备立即停机清洁、维修更换，临时新增离子风机点检记录表，落实每日人工点检。</w:t>
      </w:r>
    </w:p>
    <w:p w14:paraId="256C4908">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根本原因分析：1. 作业SOP编制不完善，仅覆盖常规设备点检，未纳入离子风机专项点检要求，存在文件管控盲区；2. 技术及品质部门未识别离子风机作为核心除静电设备的管控必要性，运维标准缺失；3. 无SOP定期查漏更新机制，设备新增、运维需求迭代后未同步优化文件。</w:t>
      </w:r>
    </w:p>
    <w:p w14:paraId="0AC3F21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永久改善对策：1. 修订设备点检SOP，新增离子风机专项点检章节，明确每日清洁、每周风速检测、每月离子平衡度校验的标准化流程及合格判定标准；2. 将离子风机点检纳入岗位日常点检必查项，专人负责、每日记录、班组长复核；3. 建立SOP年度查漏优化机制，根据设备运维需求及时增补管控条款。</w:t>
      </w:r>
    </w:p>
    <w:p w14:paraId="5EFDCEBB">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实施验证：新版SOP已正式发布落地，离子风机点检项目、频次、判定标准清晰明确，全场设备均按新标准完成首轮点检排查，无失效设备在岗运行，点检记录完整可追溯。</w:t>
      </w:r>
    </w:p>
    <w:p w14:paraId="6958FB9D">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预防再发：常态化落实离子风机标准化点检，定期核查SOP执行落地情况，杜绝点检缺失、不规范问题。</w:t>
      </w:r>
    </w:p>
    <w:p w14:paraId="6CF6DF4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结案结论：离子风机运维点检管控闭环，文件及现场执行合规，可结案。</w:t>
      </w:r>
    </w:p>
    <w:p w14:paraId="61457B6D">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单项问题深度分析：离子风机是车间中和残余静电、消除绝缘物料静电蓄积的核心设备，长期积尘、风速衰减、离子失衡会导致除电能力大幅下降，且设备失效无直观外观异常。无标准化点检SOP会导致设备长期带病运行，工位静电残留超标，引发元器件隐性静电损伤，属于典型的设备运维体系漏洞。</w:t>
      </w:r>
    </w:p>
    <w:p w14:paraId="77574464">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专项优化提升建议：1. 配备专业离子风机测试仪，定期量化检测离子平衡度与除电时间，替代人工主观判定；2. 建立离子风机维保台账，记录清洁、检测、维修、更换全流程信息；3. 针对高精密作业工位离子风机提高抽检频次，保障除静电性能稳定。</w:t>
      </w:r>
    </w:p>
    <w:p w14:paraId="70CAF89D">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28AE5909">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4A1D1EB1">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526D8B9F">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r>
        <w:rPr>
          <w:rFonts w:hint="eastAsia" w:ascii="宋体" w:hAnsi="宋体" w:eastAsia="宋体" w:cs="宋体"/>
          <w:b/>
          <w:bCs/>
          <w:kern w:val="0"/>
          <w:sz w:val="27"/>
          <w:szCs w:val="27"/>
          <w:lang w:val="en-US" w:eastAsia="zh-CN" w:bidi="ar"/>
        </w:rPr>
        <w:t>【NCR093】检测记录无温湿度</w:t>
      </w:r>
    </w:p>
    <w:p w14:paraId="0D9F37B5">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问题描述：现场ESD设备检测、接地电阻测试、离子风机性能校验等所有检测记录表单，均未记录作业环境温湿度数据，无法佐证检测结果的真实性与有效性，不符合静电检测环境管控溯源要求。</w:t>
      </w:r>
    </w:p>
    <w:p w14:paraId="278D1359">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不符合标准条款：ANSI/ESD S20.20-2021 5.3 静电检测环境条件记录要求</w:t>
      </w:r>
    </w:p>
    <w:p w14:paraId="7B44CEEC">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不符合标准条款：IEC 61340-5-1:2024 5.3 ESD检测环境参数溯源规范</w:t>
      </w:r>
    </w:p>
    <w:p w14:paraId="1E730EB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严重程度：一般不符合（Minor）</w:t>
      </w:r>
    </w:p>
    <w:p w14:paraId="6AB6076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临时遏制措施：立即优化现有所有ESD检测记录表，新增温湿度填写栏目，检测作业时同步记录实时环境数据，对往期无温湿度记录的检测数据补充环境复盘核验，确认检测结果有效。</w:t>
      </w:r>
    </w:p>
    <w:p w14:paraId="18AC17B8">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根本原因分析：1. 检测表单设计缺陷，未结合标准要求纳入环境参数记录项，表单版本老旧；2. 检测人员不了解温湿度对静电检测数据的影响，缺乏溯源记录意识；3. 无检测记录规范性审核机制，长期存在记录要素缺失问题。</w:t>
      </w:r>
    </w:p>
    <w:p w14:paraId="687646E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永久改善对策：1. 全面迭代所有ESD检测、点检、校准表单，强制增加温湿度、检测时间、检测地点等溯源要素；2. 开展检测人员专项培训，明确温湿度对静电测试数据的影响及记录规范；3. 每次检测完成后由品质人员审核记录完整性，要素缺失不予归档。</w:t>
      </w:r>
    </w:p>
    <w:p w14:paraId="7C6C2A4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实施验证：所有在用ESD检测表单均已更新完毕，现场检测作业全部同步记录温湿度数据，记录要素完整、真实可溯源，符合标准溯源管控要求。</w:t>
      </w:r>
    </w:p>
    <w:p w14:paraId="43DD26A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预防再发：常态化审核检测记录完整性，定期核查表单规范性，杜绝记录要素缺失。</w:t>
      </w:r>
    </w:p>
    <w:p w14:paraId="7711E31D">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结案结论：检测记录溯源体系完善，管控闭环合规，可结案。</w:t>
      </w:r>
    </w:p>
    <w:p w14:paraId="19319679">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单项问题深度分析：环境温湿度是影响静电产生、蓄积、泄放及检测数据的核心变量，干燥环境极易产生高压静电，同时会导致设备电阻、离子平衡度检测数据偏差。检测记录无温湿度数据，会导致检测结果无法复核、异常数据无法溯源，检测报告失去合规有效性，审厂极易判定体系记录失效。</w:t>
      </w:r>
    </w:p>
    <w:p w14:paraId="3B9F460C">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专项优化提升建议：1. 作业工位固定温湿度监测仪，实时公示环境数据，方便检测精准记录；2. 设定ESD检测适宜环境区间，超出区间禁止开展检测作业；3. 将记录要素完整性纳入日常表单稽查重点。</w:t>
      </w:r>
    </w:p>
    <w:p w14:paraId="5D97EB3A">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70C69221">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0A3AFB9B">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34828004">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533EBD85">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r>
        <w:rPr>
          <w:rFonts w:hint="eastAsia" w:ascii="宋体" w:hAnsi="宋体" w:eastAsia="宋体" w:cs="宋体"/>
          <w:b/>
          <w:bCs/>
          <w:kern w:val="0"/>
          <w:sz w:val="27"/>
          <w:szCs w:val="27"/>
          <w:lang w:val="en-US" w:eastAsia="zh-CN" w:bidi="ar"/>
        </w:rPr>
        <w:t>【NCR094】手册无EPA划分标准</w:t>
      </w:r>
    </w:p>
    <w:p w14:paraId="0925CAC6">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问题描述：公司ESD管理手册未明确EPA防静电区域划分依据、分级标准、区域边界界定及差异化管控要求，车间、仓储、检验区等EPA区域无官方划分标准，区域管控边界模糊，存在部分区域管控遗漏、标准不统一的问题。</w:t>
      </w:r>
    </w:p>
    <w:p w14:paraId="07644F0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不符合标准条款：ANSI/ESD S20.20-2021 4.2 EPA区域分级与界定管控要求</w:t>
      </w:r>
    </w:p>
    <w:p w14:paraId="5AB1A7FC">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不符合标准条款：IEC 61340-5-1:2024 4.2 静电防护区域划分与差异化管控规范</w:t>
      </w:r>
    </w:p>
    <w:p w14:paraId="5C126793">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严重程度：一般不符合（Minor）</w:t>
      </w:r>
    </w:p>
    <w:p w14:paraId="399B78A3">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临时遏制措施：临时参照行业标准及产品静电敏感等级，快速完成全场EPA区域划分、标识张贴，统一各区域临时管控标准，消除区域管控盲区，规避无标准管控风险。</w:t>
      </w:r>
    </w:p>
    <w:p w14:paraId="2455087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根本原因分析：1. 体系手册编制不完善，缺失EPA区域划分核心章节，无制度化划分标准；2. 前期区域规划仅依靠经验界定，未形成文件化、标准化依据；3. 体系内审未排查区域划分标准缺失问题，长期存在体系漏洞。</w:t>
      </w:r>
    </w:p>
    <w:p w14:paraId="33957697">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永久改善对策：1. 修订ESD管理手册，新增EPA区域专项划分标准，明确区域分级、边界标识、管控等级、准入要求及作业规范；2. 结合产品敏感等级、作业工序更新全场EPA区域布局图，定点张贴公示；3. 新增、改造作业区域后，同步评审更新EPA划分标准，保证全域覆盖。</w:t>
      </w:r>
    </w:p>
    <w:p w14:paraId="401EDA0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实施验证：ESD管理手册已补充完善EPA划分标准，全场EPA区域划分清晰、标识完整，各区域管控标准统一、有据可依，无管控盲区与边界模糊问题。</w:t>
      </w:r>
    </w:p>
    <w:p w14:paraId="6E9839D5">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预防再发：定期复盘EPA区域管控合规性，区域变更同步更新文件与标识，持续标准化管控。</w:t>
      </w:r>
    </w:p>
    <w:p w14:paraId="14F7C80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结案结论：EPA区域标准化管控闭环，体系文件合规完善，可结案。</w:t>
      </w:r>
    </w:p>
    <w:p w14:paraId="073453B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单项问题深度分析：EPA区域划分是ESD体系管控的基础核心，无文件化划分标准会导致全域静电防护管控无依据，高风险工序与普通区域管控无差异，易出现高风险区域防护降级、普通区域过度管控的问题，同时无法满足客户审厂、第三方认证的基础合规要求，属于体系结构性缺失。</w:t>
      </w:r>
    </w:p>
    <w:p w14:paraId="1F58BF85">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专项优化提升建议：1. 按高、中、低风险完成EPA区域分级，制定差异化防护、巡检、存放标准；2. 区域边界张贴醒目分区标识、管控须知，明确准入规范；3. 对全员开展EPA分区管控专项培训，统一认知标准。</w:t>
      </w:r>
    </w:p>
    <w:p w14:paraId="2FAE0C86">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362A5805">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67875A45">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C63D27C">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2A14BB6">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r>
        <w:rPr>
          <w:rFonts w:hint="eastAsia" w:ascii="宋体" w:hAnsi="宋体" w:eastAsia="宋体" w:cs="宋体"/>
          <w:b/>
          <w:bCs/>
          <w:kern w:val="0"/>
          <w:sz w:val="27"/>
          <w:szCs w:val="27"/>
          <w:lang w:val="en-US" w:eastAsia="zh-CN" w:bidi="ar"/>
        </w:rPr>
        <w:t>【NCR095】无设备校准计划</w:t>
      </w:r>
    </w:p>
    <w:p w14:paraId="7512E97B">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问题描述：公司未制定ESD检测设备、监控设备年度校准计划，手环测试仪、静电电压表、电阻测试仪、温湿度监测设备等无固定校准周期、无校准安排，设备检测精度无法保障，存在检测数据失真风险。</w:t>
      </w:r>
    </w:p>
    <w:p w14:paraId="79243FA9">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不符合标准条款：ANSI/ESD S20.20-2021 4.4 检测设备定期校准管控要求</w:t>
      </w:r>
    </w:p>
    <w:p w14:paraId="0ACE2A85">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不符合标准条款：IEC 61340-5-1:2024 4.4 ESD检测设备量值溯源校准规范</w:t>
      </w:r>
    </w:p>
    <w:p w14:paraId="2D2DCBD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严重程度：一般不符合（Minor）</w:t>
      </w:r>
    </w:p>
    <w:p w14:paraId="06E1721E">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临时遏制措施：立即梳理全场所有ESD检测设备，统一送至第三方机构完成紧急校准，张贴校准合格标识，临时建立设备校准台账，确保在用设备全部量值精准、合规有效。</w:t>
      </w:r>
    </w:p>
    <w:p w14:paraId="294B4749">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根本原因分析：1. 设备管理制度缺失，未建立ESD专项设备年度校准计划，无周期管控机制；2. 管理人员量值溯源意识薄弱，未认知设备校准对检测数据有效性的核心作用；3. 设备台账未关联校准周期，无到期预警机制，易出现漏校、超期使用问题。</w:t>
      </w:r>
    </w:p>
    <w:p w14:paraId="59210EC0">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永久改善对策：1. 编制年度ESD设备校准计划，明确各类检测设备校准周期、校准机构、责任人及完成时限；2. 完善设备台账，新增校准周期、下次校准时间、校准状态等字段，建立到期预警机制；3. 超期未校准设备立即停用封存，严禁无证、超期设备上岗使用。</w:t>
      </w:r>
    </w:p>
    <w:p w14:paraId="787BCCF0">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实施验证：年度校准计划已正式落地，所有ESD检测设备均完成校准且持证合规，台账信息完整、预警机制有效，无超期未校设备在岗使用。</w:t>
      </w:r>
    </w:p>
    <w:p w14:paraId="7288AA8D">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预防再发：严格执行年度校准计划，常态化核查设备校准状态，杜绝漏校、超期使用问题。</w:t>
      </w:r>
    </w:p>
    <w:p w14:paraId="1A802CEA">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结案结论：设备量值溯源管控闭环，校准体系合规有效，可结案。</w:t>
      </w:r>
    </w:p>
    <w:p w14:paraId="08B9E9B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单项问题深度分析：ESD检测设备长期使用会出现精度漂移、数据偏差，无定期校准会导致日常检测、点检数据虚假合格，无法真实反馈现场静电防护状态。失效、超期设备检测的数据不具备权威性与溯源性，一旦出现品质异常，无法通过检测数据复盘分析，是体系合规性核心扣分项。</w:t>
      </w:r>
    </w:p>
    <w:p w14:paraId="2D314A87">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专项优化提升建议：1. 区分精密检测设备与常规监测设备，设定差异化校准周期；2. 建立校准证书归档台账，实现一机一档、全程溯源；3. 校准到期前15天自动预警，提前安排校准工作。</w:t>
      </w:r>
    </w:p>
    <w:p w14:paraId="6889F5A7">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691BE4A0">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659283E">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7DF7799">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32F08AF7">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r>
        <w:rPr>
          <w:rFonts w:hint="eastAsia" w:ascii="宋体" w:hAnsi="宋体" w:eastAsia="宋体" w:cs="宋体"/>
          <w:b/>
          <w:bCs/>
          <w:kern w:val="0"/>
          <w:sz w:val="27"/>
          <w:szCs w:val="27"/>
          <w:lang w:val="en-US" w:eastAsia="zh-CN" w:bidi="ar"/>
        </w:rPr>
        <w:t>【NCR096】客户ESD变更未更新文件</w:t>
      </w:r>
    </w:p>
    <w:p w14:paraId="451525B7">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问题描述：客户最新ESD管控标准、来料防护要求、制程静电管控规范已完成版本变更，但公司内部ESD管理手册、作业SOP、稽查标准未同步迭代更新，内外标准不一致，现场作业沿用旧标准，无法满足客户最新品质管控要求。</w:t>
      </w:r>
    </w:p>
    <w:p w14:paraId="6C6DCC89">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不符合标准条款：ANSI/ESD S20.20-2021 4.2 外部标准变更同步更新要求</w:t>
      </w:r>
    </w:p>
    <w:p w14:paraId="6A1139CB">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不符合标准条款：IEC 61340-5-1:2024 4.2 客户适配标准动态更新规范</w:t>
      </w:r>
    </w:p>
    <w:p w14:paraId="2A747C9C">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严重程度：一般不符合（Minor）</w:t>
      </w:r>
    </w:p>
    <w:p w14:paraId="69D9C763">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临时遏制措施：立即收集最新客户ESD变更标准，逐条对标核查现场作业、文件管控差异，临时下发专项变更通知，全员落实新标准管控要求，规避客户标准不符风险。</w:t>
      </w:r>
    </w:p>
    <w:p w14:paraId="447D30D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根本原因分析：1. 无客户标准变更接收、评审、更新机制，外部标准迭代后未及时同步内部文件；2. 业务、品质部门信息衔接不畅，客户变更信息未及时传递至体系管控部门；3. 内部文件更新滞后，未建立内外标准对标复盘机制。</w:t>
      </w:r>
    </w:p>
    <w:p w14:paraId="6AF79A3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永久改善对策：1. 建立客户ESD标准变更专项管控流程，接收变更信息后3个工作日内完成对标评审、文件修订；2. 明确业务、品质、体系部门对接职责，确保外部标准变更实时同步；3. 每季度开展客户标准对标复盘，确保内部文件100%适配客户最新要求。</w:t>
      </w:r>
    </w:p>
    <w:p w14:paraId="511F298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实施验证：已完成所有客户ESD变更标准对标梳理，内部手册、SOP、稽查表单全部同步更新，现场作业全面落实新标准要求，内外标准统一无偏差。</w:t>
      </w:r>
    </w:p>
    <w:p w14:paraId="0AA9CF1A">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预防再发：常态化跟进客户标准迭代，及时同步更新内部体系文件，杜绝标准滞后。</w:t>
      </w:r>
    </w:p>
    <w:p w14:paraId="29365B04">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结案结论：客户标准适配管控闭环，文件与现场执行同步合规，可结案。</w:t>
      </w:r>
    </w:p>
    <w:p w14:paraId="2AB1FFC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单项问题深度分析：客户ESD标准多针对产品特性、终端使用场景制定差异化严苛要求，内部文件未同步更新会导致制程防护、物料管控不符合客户验收标准，极易引发客户稽核不合格、来料退货、批量客诉等品质风险，直接影响客户合作资质。</w:t>
      </w:r>
    </w:p>
    <w:p w14:paraId="5D72955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专项优化提升建议：1. 建立客户ESD标准台账，分类归档不同客户的差异化管控要求；2. 标准更新后第一时间开展全员专项培训，确保一线落地执行；3. 将客户标准适配性纳入日常稽查核心项目。</w:t>
      </w:r>
    </w:p>
    <w:p w14:paraId="17C9411F">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4F4E773F">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5C677E22">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5F04B0E6">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3E11B2E">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r>
        <w:rPr>
          <w:rFonts w:hint="eastAsia" w:ascii="宋体" w:hAnsi="宋体" w:eastAsia="宋体" w:cs="宋体"/>
          <w:b/>
          <w:bCs/>
          <w:kern w:val="0"/>
          <w:sz w:val="27"/>
          <w:szCs w:val="27"/>
          <w:lang w:val="en-US" w:eastAsia="zh-CN" w:bidi="ar"/>
        </w:rPr>
        <w:t>【NCR097】培训无考核记录</w:t>
      </w:r>
    </w:p>
    <w:p w14:paraId="3283FE1C">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问题描述：公司定期开展全员ESD专项培训，但仅留存培训签到记录、培训课件，无对应的理论考核、实操考核记录，无法验证员工培训掌握效果，培训工作流于形式，无法保障全员作业合规能力。</w:t>
      </w:r>
    </w:p>
    <w:p w14:paraId="1680705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不符合标准条款：ANSI/ESD S20.20-2021 8.2 岗位培训效果验证考核要求</w:t>
      </w:r>
    </w:p>
    <w:p w14:paraId="0FCA565C">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不符合标准条款：IEC 61340-5-1:2024 8.2 ESD培训考核与能力验证规范</w:t>
      </w:r>
    </w:p>
    <w:p w14:paraId="2AC39FE7">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严重程度：一般不符合（Minor）</w:t>
      </w:r>
    </w:p>
    <w:p w14:paraId="3C4D6EE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临时遏制措施：立即针对往期参训人员补做ESD理论+实操专项考核，完善考核台账，对考核不合格人员暂停上岗，安排复训重考，合格后方可复工。</w:t>
      </w:r>
    </w:p>
    <w:p w14:paraId="27E8D6DC">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根本原因分析：1. 培训管理制度不完善，仅要求开展培训、签到，未强制落实考核验证环节；2. 管理人员重培训形式、轻培训效果，未建立能力验证意识；3. 无培训考核归档机制，未将考核记录纳入培训台账必备要素。</w:t>
      </w:r>
    </w:p>
    <w:p w14:paraId="32B23126">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永久改善对策：1. 修订ESD培训管理制度，明确所有岗前、年度、专项培训必须配套理论+实操考核；2. 建立完整培训台账，整合签到、课件、考核成绩、复训记录等全要素资料；3. 固化“培训-考核-验证-复训”闭环流程，考核不合格严禁上岗作业。</w:t>
      </w:r>
    </w:p>
    <w:p w14:paraId="73DEDED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实施验证：全员ESD培训考核工作全面落地，培训台账要素完整，所有员工均考核合格，无培训无考核、考核不合格上岗问题，人员能力可控。</w:t>
      </w:r>
    </w:p>
    <w:p w14:paraId="009232B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预防再发：严格落实培训考核闭环机制，每期培训同步完成考核归档，杜绝形式化培训。</w:t>
      </w:r>
    </w:p>
    <w:p w14:paraId="790BF602">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结案结论：人员培训考核体系完善，能力验证闭环合规，可结案。</w:t>
      </w:r>
    </w:p>
    <w:p w14:paraId="68E55364">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单项问题深度分析：无考核的培训无法验证员工对ESD规范、风险、操作标准的掌握程度，极易出现员工参会但不懂、不会、不执行的问题，导致现场违规操作反复发生。培训无考核、无验证属于体系人力管控漏洞，无法从源头规避人为ESD风险，是审厂高频不合格项。</w:t>
      </w:r>
    </w:p>
    <w:p w14:paraId="0BB08BA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专项优化提升建议：1. 建立标准化ESD题库，定期更新考题，适配现场作业需求；2. 新员工、转岗员工实行100%实操考核，老员工实行年度抽检考核；3. 考核成绩与岗位绩效、上岗资质挂钩，强化学习主动性。</w:t>
      </w:r>
    </w:p>
    <w:p w14:paraId="6A18415B">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F4D9E03">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D199448">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1207C69">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49673BAF">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C60AE8F">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r>
        <w:rPr>
          <w:rFonts w:hint="eastAsia" w:ascii="宋体" w:hAnsi="宋体" w:eastAsia="宋体" w:cs="宋体"/>
          <w:b/>
          <w:bCs/>
          <w:kern w:val="0"/>
          <w:sz w:val="27"/>
          <w:szCs w:val="27"/>
          <w:lang w:val="en-US" w:eastAsia="zh-CN" w:bidi="ar"/>
        </w:rPr>
        <w:t>【NCR098】维保计划未覆盖铜排</w:t>
      </w:r>
    </w:p>
    <w:p w14:paraId="0B9DC087">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问题描述：车间ESD设备年度维保计划仅包含工位设备、检测设备、离子风机等常规设备，未将接地铜排、接地干线、接地端子等接地系统纳入维保范围，接地系统长期无检修、无养护，存在端子松动、氧化、线路破损等隐性隐患。</w:t>
      </w:r>
    </w:p>
    <w:p w14:paraId="65BE43F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不符合标准条款：ANSI/ESD S20.20-2021 5.2 接地系统定期维保与巡检要求</w:t>
      </w:r>
    </w:p>
    <w:p w14:paraId="532D69C8">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不符合标准条款：IEC 61340-5-1:2024 5.2 ESD接地系统运维保养规范</w:t>
      </w:r>
    </w:p>
    <w:p w14:paraId="513BD02E">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严重程度：一般不符合（Minor）</w:t>
      </w:r>
    </w:p>
    <w:p w14:paraId="55BE386E">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临时遏制措施：立即开展全域接地铜排、接地干线、端子专项排查检修，全面紧固松动端子、清理氧化点位、更换破损线路，临时完成接地系统维保，保障接地回路连续有效。</w:t>
      </w:r>
    </w:p>
    <w:p w14:paraId="282F8A63">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根本原因分析：1. 维保计划编制不全，仅聚焦作业设备，未将接地系统纳入核心维保清单；2. 维保人员认知不足，误认为接地铜排无需定期维保，忽视接地系统老化、松动风险；3. 无接地系统专项维保SOP，无固定维保周期与判定标准。</w:t>
      </w:r>
    </w:p>
    <w:p w14:paraId="083E2544">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永久改善对策：1. 修订年度设备维保计划，新增接地铜排、接地干线、接地端子专项维保项目，明确季度维保、年度全检周期；2. 制定接地系统维保作业指导书，规范紧固、除锈、检测、养护流程；3. 将接地电阻检测、线路完好性核查纳入维保必查项，全程记录归档。</w:t>
      </w:r>
    </w:p>
    <w:p w14:paraId="35DBD2A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实施验证：接地系统维保计划已完善落地，全场接地铜排、线路、端子检修完毕，无松动、氧化、破损问题，接地电阻全部达标，接地系统运行稳定。</w:t>
      </w:r>
    </w:p>
    <w:p w14:paraId="59BBE10F">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预防再发：严格执行接地系统周期性维保，常态化排查接地隐患，保障全域等电位稳定。</w:t>
      </w:r>
    </w:p>
    <w:p w14:paraId="21E91C24">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结案结论：接地系统维保管控闭环，设备运维体系合规，可结案。</w:t>
      </w:r>
    </w:p>
    <w:p w14:paraId="0955FD04">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单项问题深度分析：接地铜排是车间全域等电位搭建、静电泄放的核心载体，长期运行易出现端子松动、接触面氧化、线路老化问题，会导致局部接地电阻超标、电位失衡，引发区域性静电放电不良。接地系统无维保属于隐蔽性极强的体系漏洞，隐患累积后易引发批量品质事故。</w:t>
      </w:r>
    </w:p>
    <w:p w14:paraId="6862F6C6">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专项优化提升建议：1. 对接地铜排接触面定期做防锈、导电养护处理；2. 每次维保后实测接地电阻，留存检测记录；3. 重点工序、高风险区域铜排增加维保抽检频次。</w:t>
      </w:r>
    </w:p>
    <w:p w14:paraId="19531B69">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546DB891">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51CF9374">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443C0B5">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20D7B1C5">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r>
        <w:rPr>
          <w:rFonts w:hint="eastAsia" w:ascii="宋体" w:hAnsi="宋体" w:eastAsia="宋体" w:cs="宋体"/>
          <w:b/>
          <w:bCs/>
          <w:kern w:val="0"/>
          <w:sz w:val="27"/>
          <w:szCs w:val="27"/>
          <w:lang w:val="en-US" w:eastAsia="zh-CN" w:bidi="ar"/>
        </w:rPr>
        <w:t>【NCR099】记录无审核签字</w:t>
      </w:r>
    </w:p>
    <w:p w14:paraId="51DE740A">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问题描述：现场ESD日常点检记录、设备检测记录、维保记录、培训记录等各类体系记录，仅由操作人员填写完成，无班组长、品质管理人员审核签字，记录真实性、有效性无复核管控，存在虚假记录、错填漏填无人核查的问题。</w:t>
      </w:r>
    </w:p>
    <w:p w14:paraId="6F6423BB">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不符合标准条款：ANSI/ESD S20.20-2021 4.5 体系记录审核溯源管控要求</w:t>
      </w:r>
    </w:p>
    <w:p w14:paraId="70C76057">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不符合标准条款：IEC 61340-5-1:2024 4.5 ESD管控记录复核与归档规范</w:t>
      </w:r>
    </w:p>
    <w:p w14:paraId="612331C3">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严重程度：一般不符合（Minor）</w:t>
      </w:r>
    </w:p>
    <w:p w14:paraId="0AB963F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临时遏制措施：立即梳理往期所有ESD台账记录，安排专人逐份复核、补签审核，对错填、漏填、无效记录统一整改修正，确保存量记录合规有效。</w:t>
      </w:r>
    </w:p>
    <w:p w14:paraId="536A3C6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根本原因分析：1. 记录管控流程不完善，未明确记录审核签字的岗位职责与闭环要求；2. 一线人员只负责填写记录，无复核意识，管理人员未落实审核职责；3. 表单未设置固定审核签字栏目，流程设计存在缺陷。</w:t>
      </w:r>
    </w:p>
    <w:p w14:paraId="1BFDB1C6">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永久改善对策：1. 优化所有ESD记录表单，增设操作人员、审核人员签字栏，明确填写、审核、归档三级流程；2. 制定记录审核管控制度，每日由班组长初审、每周品质复审，不合格记录退回整改；3. 将记录审核完整性纳入日常绩效考核，杜绝无审核记录归档。</w:t>
      </w:r>
    </w:p>
    <w:p w14:paraId="3FEA8A23">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实施验证：所有ESD记录表单已优化完毕，存量记录全部完成审核补签，新增记录均严格落实填写+审核双人签字机制，记录合规、溯源有效。</w:t>
      </w:r>
    </w:p>
    <w:p w14:paraId="45E530AA">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预防再发：常态化落实记录审核机制，定期稽查台账完整性与规范性，杜绝无审核记录。</w:t>
      </w:r>
    </w:p>
    <w:p w14:paraId="6790B8B5">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结案结论：体系记录审核管控闭环，台账管理合规规范，可结案。</w:t>
      </w:r>
    </w:p>
    <w:p w14:paraId="49CFFF3A">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单项问题深度分析：无审核签字的体系记录属于无效记录，无法证明现场ESD管控真实落地，仅为单方填写数据，不具备公信力与溯源性。审厂过程中会直接判定体系管控流于形式、缺乏监督机制，属于体系管控流程的重大合规缺陷。</w:t>
      </w:r>
    </w:p>
    <w:p w14:paraId="4617E6E8">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专项优化提升建议：1. 实行记录日清、周审、月归档管理模式，闭环管控；2. 定期抽查记录真实性、一致性，杜绝虚假台账；3. 明确各级人员记录管控职责，责任到人。</w:t>
      </w:r>
    </w:p>
    <w:p w14:paraId="1DD0C362">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22FE4633">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33DFB470">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2626AF9C">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14042A06">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p>
    <w:p w14:paraId="7C29FAC9">
      <w:pPr>
        <w:keepNext w:val="0"/>
        <w:keepLines w:val="0"/>
        <w:widowControl/>
        <w:suppressLineNumbers w:val="0"/>
        <w:spacing w:before="0" w:beforeAutospacing="1" w:after="0" w:afterAutospacing="1"/>
        <w:jc w:val="left"/>
        <w:outlineLvl w:val="2"/>
        <w:rPr>
          <w:rFonts w:hint="eastAsia" w:ascii="宋体" w:hAnsi="宋体" w:eastAsia="宋体" w:cs="宋体"/>
          <w:b/>
          <w:bCs/>
          <w:kern w:val="0"/>
          <w:sz w:val="27"/>
          <w:szCs w:val="27"/>
          <w:lang w:val="en-US" w:eastAsia="zh-CN" w:bidi="ar"/>
        </w:rPr>
      </w:pPr>
      <w:r>
        <w:rPr>
          <w:rFonts w:hint="eastAsia" w:ascii="宋体" w:hAnsi="宋体" w:eastAsia="宋体" w:cs="宋体"/>
          <w:b/>
          <w:bCs/>
          <w:kern w:val="0"/>
          <w:sz w:val="27"/>
          <w:szCs w:val="27"/>
          <w:lang w:val="en-US" w:eastAsia="zh-CN" w:bidi="ar"/>
        </w:rPr>
        <w:t>【NCR100】文件未适配2024IEC新标准</w:t>
      </w:r>
    </w:p>
    <w:p w14:paraId="399DA14D">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问题描述：公司现有全套ESD体系文件、作业SOP、稽查标准、风险评估报告仅适配旧版标准，未同步对标更新IEC 61340-5-1:2024最新版标准，部分条款、管控要求、判定标准与新版国标不符，体系整体未达到最新合规要求。</w:t>
      </w:r>
    </w:p>
    <w:p w14:paraId="5E29340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不符合标准条款：ANSI/ESD S20.20-2021 4.2 体系文件适配最新行业标准要求</w:t>
      </w:r>
    </w:p>
    <w:p w14:paraId="167ECD67">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不符合标准条款：IEC 61340-5-1:2024 4.1 企业ESD体系对标新版标准迭代规范</w:t>
      </w:r>
    </w:p>
    <w:p w14:paraId="79D67F4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严重程度：一般不符合（Minor）</w:t>
      </w:r>
    </w:p>
    <w:p w14:paraId="37910608">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临时遏制措施：立即开展新旧标准差异对标梳理，识别新版IEC标准新增、修订、删除条款，临时落实新版标准核心管控要求，补齐现场管控短板，规避标准不符风险。</w:t>
      </w:r>
    </w:p>
    <w:p w14:paraId="5523596C">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根本原因分析：1. 体系标准迭代意识薄弱，未建立行业新标准动态对标更新机制；2. 前期文件编制仅适配旧版标准，未同步兼顾双标准合规要求；3. 年度体系复盘未开展标准版本适配性核查，文件长期滞后更新。</w:t>
      </w:r>
    </w:p>
    <w:p w14:paraId="59432960">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永久改善对策：1. 全面迭代ESD管理手册、程序文件、作业SOP、稽查表单，100%适配ANSI/ESD S20.20-2021与IEC 61340-5-1:2024双标准；2. 整理新旧标准差异清单，开展全员新标准专项培训，统一管控口径；3. 建立行业标准动态跟踪机制，新标准发布后及时完成体系对标迭代。</w:t>
      </w:r>
    </w:p>
    <w:p w14:paraId="13A2E06C">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实施验证：全套ESD体系文件已完成新版IEC标准适配更新，新旧标准差异条款全部落地整改，现场作业、稽查、管控完全匹配双标准要求，体系合规达标。</w:t>
      </w:r>
    </w:p>
    <w:p w14:paraId="091245F0">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预防再发：持续跟踪行业ESD标准更新动态，定期复盘文件适配性，保持体系最新合规。</w:t>
      </w:r>
    </w:p>
    <w:p w14:paraId="47A46B10">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结案结论：体系文件双标准适配闭环，全套合规完善，100条NCR问题全部整改完成，可整体结案。</w:t>
      </w:r>
    </w:p>
    <w:p w14:paraId="7314CFFE">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单项问题深度分析：IEC 61340-5-1:2024新版标准在区域管控、设备运维、人员防护、记录溯源、风险评估等多个维度优化了管控要求，旧版文件无法覆盖新版合规要点。体系文件未适配最新标准，会导致整体ESD体系合规性不足，无法通过高端客户审厂、第三方权威认证，存在合作资质流失风险。</w:t>
      </w:r>
    </w:p>
    <w:p w14:paraId="09BDA491">
      <w:pPr>
        <w:keepNext w:val="0"/>
        <w:keepLines w:val="0"/>
        <w:widowControl/>
        <w:suppressLineNumbers w:val="0"/>
        <w:ind w:leftChars="0"/>
        <w:jc w:val="left"/>
        <w:rPr>
          <w:rFonts w:hint="eastAsia" w:ascii="宋体" w:hAnsi="宋体" w:eastAsia="宋体" w:cs="宋体"/>
          <w:kern w:val="2"/>
          <w:sz w:val="21"/>
          <w:szCs w:val="24"/>
          <w:lang w:val="en-US" w:eastAsia="zh-CN" w:bidi="ar-SA"/>
        </w:rPr>
      </w:pPr>
      <w:r>
        <w:rPr>
          <w:rFonts w:hint="eastAsia" w:ascii="宋体" w:hAnsi="宋体" w:eastAsia="宋体" w:cs="宋体"/>
          <w:b/>
          <w:kern w:val="0"/>
          <w:sz w:val="24"/>
          <w:szCs w:val="24"/>
          <w:lang w:val="en-US" w:eastAsia="zh-CN" w:bidi="ar"/>
        </w:rPr>
        <w:t>专项优化提升建议：1. 建立双标准对标台账，逐条标注文件对应标准条款，实现有据可查；2. 每年开展一次双标准全面复盘迭代，确保体系持续合规；3. 将新版标准核心差异点纳入新员工入职、老员工复训必考内容。</w:t>
      </w:r>
    </w:p>
    <w:p w14:paraId="3126910A">
      <w:pPr>
        <w:rPr>
          <w:rFonts w:hint="eastAsia" w:ascii="宋体" w:hAnsi="宋体" w:eastAsia="宋体" w:cs="宋体"/>
        </w:rPr>
      </w:pPr>
    </w:p>
    <w:sectPr>
      <w:headerReference r:id="rId3" w:type="default"/>
      <w:footerReference r:id="rId4" w:type="default"/>
      <w:pgSz w:w="11906" w:h="16838"/>
      <w:pgMar w:top="1440" w:right="1800" w:bottom="1440" w:left="1800" w:header="283"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E1B33">
    <w:pPr>
      <w:pStyle w:val="5"/>
      <w:tabs>
        <w:tab w:val="left" w:pos="5133"/>
        <w:tab w:val="clear" w:pos="4153"/>
      </w:tabs>
      <w:wordWrap w:val="0"/>
      <w:jc w:val="both"/>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56F9041">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56F9041">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105</w:t>
                    </w:r>
                    <w:r>
                      <w:fldChar w:fldCharType="end"/>
                    </w:r>
                    <w:r>
                      <w:t xml:space="preserve"> 页</w:t>
                    </w:r>
                  </w:p>
                </w:txbxContent>
              </v:textbox>
            </v:shape>
          </w:pict>
        </mc:Fallback>
      </mc:AlternateContent>
    </w:r>
    <w:r>
      <w:rPr>
        <w:rFonts w:hint="eastAsia"/>
        <w:sz w:val="18"/>
        <w:lang w:val="en-US" w:eastAsia="zh-CN"/>
      </w:rPr>
      <w:t>静电无形 防控有形</w:t>
    </w:r>
    <w:r>
      <w:rPr>
        <w:rFonts w:hint="eastAsia"/>
        <w:lang w:val="en-US" w:eastAsia="zh-CN"/>
      </w:rPr>
      <w:t xml:space="preserve">      </w:t>
    </w:r>
    <w:r>
      <w:rPr>
        <w:rFonts w:hint="eastAsia"/>
        <w:lang w:val="en-US" w:eastAsia="zh-CN"/>
      </w:rPr>
      <w:tab/>
      <w:t xml:space="preserve">           思研防静电 www.siyan.tech</w:t>
    </w:r>
  </w:p>
  <w:p w14:paraId="05408D0F">
    <w:pPr>
      <w:pStyle w:val="5"/>
      <w:tabs>
        <w:tab w:val="left" w:pos="5133"/>
        <w:tab w:val="clear" w:pos="4153"/>
      </w:tabs>
      <w:rPr>
        <w:rFonts w:hint="default"/>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AE9B5">
    <w:pPr>
      <w:pStyle w:val="2"/>
      <w:jc w:val="center"/>
      <w:rPr>
        <w:rFonts w:hint="eastAsia" w:ascii="宋体" w:hAnsi="宋体" w:eastAsia="宋体" w:cs="宋体"/>
        <w:sz w:val="28"/>
        <w:szCs w:val="28"/>
      </w:rPr>
    </w:pPr>
    <w:r>
      <w:rPr>
        <w:rFonts w:hint="eastAsia" w:ascii="宋体" w:hAnsi="宋体" w:eastAsia="宋体" w:cs="宋体"/>
        <w:sz w:val="28"/>
        <w:szCs w:val="28"/>
        <w:lang w:val="en-US" w:eastAsia="zh-CN"/>
      </w:rPr>
      <w:t>ESD</w:t>
    </w:r>
    <w:r>
      <w:rPr>
        <w:rFonts w:hint="eastAsia" w:ascii="宋体" w:hAnsi="宋体" w:eastAsia="宋体" w:cs="宋体"/>
        <w:sz w:val="28"/>
        <w:szCs w:val="28"/>
      </w:rPr>
      <w:t>审厂 NCR 整改案例库</w:t>
    </w:r>
  </w:p>
  <w:p w14:paraId="0FF30AEC">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E065CA"/>
    <w:rsid w:val="04ED064B"/>
    <w:rsid w:val="06A061CC"/>
    <w:rsid w:val="0A814349"/>
    <w:rsid w:val="12355F6F"/>
    <w:rsid w:val="26AA090E"/>
    <w:rsid w:val="2FE73D65"/>
    <w:rsid w:val="62F6551F"/>
    <w:rsid w:val="78E065CA"/>
    <w:rsid w:val="7BD10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paragraph" w:customStyle="1" w:styleId="1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2026-06-22T18:52:00Z</dcterms:created>
  <dc:creator>高国安18666968958</dc:creator>
  <cp:lastModifiedBy>高国安18666968958</cp:lastModifiedBy>
  <dcterms:modified xsi:type="dcterms:W3CDTF">2026-06-22T20:09:59Z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5CFCAF485DFD4C829DF934CA15A18901_13</vt:lpwstr>
  </property>
  <property fmtid="{D5CDD505-2E9C-101B-9397-08002B2CF9AE}" pid="4" name="KSOTemplateDocerSaveRecord">
    <vt:lpwstr>eyJoZGlkIjoiYTMzZjE1NTk2ZmY4NzhmZTU0NTFkN2JhYThjZWVlOGIiLCJ1c2VySWQiOiIxMDY4OTAwNDMzIn0=</vt:lpwstr>
  </property>
</Properties>
</file>